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94" w:rsidRDefault="002606FC" w:rsidP="00AA558F">
      <w:pPr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>
            <wp:extent cx="1978925" cy="81060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66" cy="8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35" w:rsidRPr="000D41E2" w:rsidRDefault="000F4635" w:rsidP="00AA558F">
      <w:pPr>
        <w:spacing w:line="288" w:lineRule="auto"/>
        <w:jc w:val="center"/>
        <w:rPr>
          <w:rFonts w:asciiTheme="minorHAnsi" w:hAnsiTheme="minorHAnsi" w:cstheme="minorHAnsi"/>
          <w:b/>
        </w:rPr>
      </w:pPr>
    </w:p>
    <w:p w:rsidR="00277E94" w:rsidRPr="000D41E2" w:rsidRDefault="00716916" w:rsidP="00AA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Workforce Innovation and Opportunity</w:t>
      </w:r>
      <w:r w:rsidR="00CF0BB2" w:rsidRPr="000D41E2">
        <w:rPr>
          <w:rFonts w:asciiTheme="minorHAnsi" w:hAnsiTheme="minorHAnsi" w:cstheme="minorHAnsi"/>
          <w:b/>
        </w:rPr>
        <w:t xml:space="preserve"> Act </w:t>
      </w:r>
      <w:r w:rsidR="00055E2A" w:rsidRPr="000D41E2">
        <w:rPr>
          <w:rFonts w:asciiTheme="minorHAnsi" w:hAnsiTheme="minorHAnsi" w:cstheme="minorHAnsi"/>
          <w:b/>
        </w:rPr>
        <w:t xml:space="preserve">Administrative </w:t>
      </w:r>
      <w:r w:rsidR="00CF0BB2" w:rsidRPr="000D41E2">
        <w:rPr>
          <w:rFonts w:asciiTheme="minorHAnsi" w:hAnsiTheme="minorHAnsi" w:cstheme="minorHAnsi"/>
          <w:b/>
        </w:rPr>
        <w:t xml:space="preserve">Policy </w:t>
      </w:r>
      <w:r w:rsidR="00055E2A" w:rsidRPr="000D41E2">
        <w:rPr>
          <w:rFonts w:asciiTheme="minorHAnsi" w:hAnsiTheme="minorHAnsi" w:cstheme="minorHAnsi"/>
          <w:b/>
        </w:rPr>
        <w:t>#20</w:t>
      </w:r>
      <w:r w:rsidR="00EA0762">
        <w:rPr>
          <w:rFonts w:asciiTheme="minorHAnsi" w:hAnsiTheme="minorHAnsi" w:cstheme="minorHAnsi"/>
          <w:b/>
        </w:rPr>
        <w:t>4</w:t>
      </w:r>
    </w:p>
    <w:p w:rsidR="00CF0BB2" w:rsidRPr="000D41E2" w:rsidRDefault="00CF0BB2" w:rsidP="00AA558F">
      <w:pPr>
        <w:spacing w:line="288" w:lineRule="auto"/>
        <w:jc w:val="center"/>
        <w:rPr>
          <w:rFonts w:asciiTheme="minorHAnsi" w:hAnsiTheme="minorHAnsi" w:cstheme="minorHAnsi"/>
          <w:b/>
        </w:rPr>
      </w:pPr>
    </w:p>
    <w:p w:rsidR="00CF0BB2" w:rsidRPr="000D41E2" w:rsidRDefault="00CF0BB2" w:rsidP="00AA558F">
      <w:pPr>
        <w:spacing w:line="288" w:lineRule="auto"/>
        <w:rPr>
          <w:rFonts w:asciiTheme="minorHAnsi" w:hAnsiTheme="minorHAnsi" w:cstheme="minorHAnsi"/>
          <w:b/>
        </w:rPr>
      </w:pPr>
      <w:r w:rsidRPr="000D41E2">
        <w:rPr>
          <w:rFonts w:asciiTheme="minorHAnsi" w:hAnsiTheme="minorHAnsi" w:cstheme="minorHAnsi"/>
          <w:b/>
        </w:rPr>
        <w:t xml:space="preserve">Subject: </w:t>
      </w:r>
      <w:r w:rsidRPr="000D41E2">
        <w:rPr>
          <w:rFonts w:asciiTheme="minorHAnsi" w:hAnsiTheme="minorHAnsi" w:cstheme="minorHAnsi"/>
          <w:b/>
        </w:rPr>
        <w:tab/>
      </w:r>
      <w:r w:rsidR="00514834" w:rsidRPr="000D41E2">
        <w:rPr>
          <w:rFonts w:asciiTheme="minorHAnsi" w:hAnsiTheme="minorHAnsi" w:cstheme="minorHAnsi"/>
          <w:b/>
        </w:rPr>
        <w:tab/>
      </w:r>
      <w:r w:rsidR="00EA0762">
        <w:rPr>
          <w:rFonts w:asciiTheme="minorHAnsi" w:hAnsiTheme="minorHAnsi" w:cstheme="minorHAnsi"/>
          <w:b/>
        </w:rPr>
        <w:t>General Operational Provisions for</w:t>
      </w:r>
      <w:r w:rsidR="002606FC">
        <w:rPr>
          <w:rFonts w:asciiTheme="minorHAnsi" w:hAnsiTheme="minorHAnsi" w:cstheme="minorHAnsi"/>
          <w:b/>
        </w:rPr>
        <w:t xml:space="preserve"> </w:t>
      </w:r>
      <w:r w:rsidR="002606FC" w:rsidRPr="002606FC">
        <w:rPr>
          <w:rFonts w:asciiTheme="minorHAnsi" w:hAnsiTheme="minorHAnsi" w:cstheme="minorHAnsi"/>
          <w:b/>
        </w:rPr>
        <w:t xml:space="preserve">Central Virginia </w:t>
      </w:r>
      <w:r w:rsidR="00EA0762">
        <w:rPr>
          <w:rFonts w:asciiTheme="minorHAnsi" w:hAnsiTheme="minorHAnsi" w:cstheme="minorHAnsi"/>
          <w:b/>
        </w:rPr>
        <w:t>W</w:t>
      </w:r>
      <w:r w:rsidR="00B83B7A">
        <w:rPr>
          <w:rFonts w:asciiTheme="minorHAnsi" w:hAnsiTheme="minorHAnsi" w:cstheme="minorHAnsi"/>
          <w:b/>
        </w:rPr>
        <w:t>D</w:t>
      </w:r>
      <w:r w:rsidR="00EA0762">
        <w:rPr>
          <w:rFonts w:asciiTheme="minorHAnsi" w:hAnsiTheme="minorHAnsi" w:cstheme="minorHAnsi"/>
          <w:b/>
        </w:rPr>
        <w:t>B Service Providers</w:t>
      </w:r>
    </w:p>
    <w:p w:rsidR="00CF0BB2" w:rsidRPr="000D41E2" w:rsidRDefault="00CF0BB2" w:rsidP="00AA558F">
      <w:pPr>
        <w:spacing w:line="288" w:lineRule="auto"/>
        <w:rPr>
          <w:rFonts w:asciiTheme="minorHAnsi" w:hAnsiTheme="minorHAnsi" w:cstheme="minorHAnsi"/>
          <w:b/>
        </w:rPr>
      </w:pPr>
    </w:p>
    <w:p w:rsidR="00CF0BB2" w:rsidRDefault="00514834" w:rsidP="00AA558F">
      <w:pPr>
        <w:spacing w:line="288" w:lineRule="auto"/>
        <w:rPr>
          <w:rFonts w:asciiTheme="minorHAnsi" w:hAnsiTheme="minorHAnsi" w:cstheme="minorHAnsi"/>
          <w:b/>
        </w:rPr>
      </w:pPr>
      <w:r w:rsidRPr="000D41E2">
        <w:rPr>
          <w:rFonts w:asciiTheme="minorHAnsi" w:hAnsiTheme="minorHAnsi" w:cstheme="minorHAnsi"/>
          <w:b/>
        </w:rPr>
        <w:t xml:space="preserve">Effective </w:t>
      </w:r>
      <w:r w:rsidR="00CF0BB2" w:rsidRPr="000D41E2">
        <w:rPr>
          <w:rFonts w:asciiTheme="minorHAnsi" w:hAnsiTheme="minorHAnsi" w:cstheme="minorHAnsi"/>
          <w:b/>
        </w:rPr>
        <w:t xml:space="preserve">Date: </w:t>
      </w:r>
      <w:r w:rsidR="00CF0BB2" w:rsidRPr="000D41E2">
        <w:rPr>
          <w:rFonts w:asciiTheme="minorHAnsi" w:hAnsiTheme="minorHAnsi" w:cstheme="minorHAnsi"/>
          <w:b/>
        </w:rPr>
        <w:tab/>
      </w:r>
      <w:r w:rsidR="00CF0BB2" w:rsidRPr="000D41E2">
        <w:rPr>
          <w:rFonts w:asciiTheme="minorHAnsi" w:hAnsiTheme="minorHAnsi" w:cstheme="minorHAnsi"/>
          <w:b/>
        </w:rPr>
        <w:tab/>
      </w:r>
      <w:r w:rsidRPr="000D41E2">
        <w:rPr>
          <w:rFonts w:asciiTheme="minorHAnsi" w:hAnsiTheme="minorHAnsi" w:cstheme="minorHAnsi"/>
          <w:b/>
        </w:rPr>
        <w:t xml:space="preserve">July 1, </w:t>
      </w:r>
      <w:r w:rsidR="00AE0DA0" w:rsidRPr="000D41E2">
        <w:rPr>
          <w:rFonts w:asciiTheme="minorHAnsi" w:hAnsiTheme="minorHAnsi" w:cstheme="minorHAnsi"/>
          <w:b/>
        </w:rPr>
        <w:t>2012</w:t>
      </w:r>
    </w:p>
    <w:p w:rsidR="00947037" w:rsidRDefault="00947037" w:rsidP="00AA558F">
      <w:pPr>
        <w:spacing w:line="288" w:lineRule="auto"/>
        <w:rPr>
          <w:rFonts w:asciiTheme="minorHAnsi" w:hAnsiTheme="minorHAnsi" w:cstheme="minorHAnsi"/>
          <w:b/>
        </w:rPr>
      </w:pPr>
    </w:p>
    <w:p w:rsidR="00947037" w:rsidRPr="000D41E2" w:rsidRDefault="00947037" w:rsidP="00AA558F">
      <w:pPr>
        <w:spacing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Revised: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January 10, 2018</w:t>
      </w:r>
    </w:p>
    <w:p w:rsidR="003A4FA5" w:rsidRDefault="003A4FA5" w:rsidP="00AA558F">
      <w:pPr>
        <w:spacing w:line="288" w:lineRule="auto"/>
        <w:rPr>
          <w:rFonts w:asciiTheme="minorHAnsi" w:hAnsiTheme="minorHAnsi" w:cstheme="minorHAnsi"/>
          <w:b/>
        </w:rPr>
      </w:pPr>
    </w:p>
    <w:p w:rsidR="00055E2A" w:rsidRPr="000D41E2" w:rsidRDefault="00CF0BB2" w:rsidP="00AA558F">
      <w:pPr>
        <w:spacing w:line="288" w:lineRule="auto"/>
        <w:rPr>
          <w:rFonts w:asciiTheme="minorHAnsi" w:hAnsiTheme="minorHAnsi" w:cstheme="minorHAnsi"/>
        </w:rPr>
      </w:pPr>
      <w:r w:rsidRPr="000D41E2">
        <w:rPr>
          <w:rFonts w:asciiTheme="minorHAnsi" w:hAnsiTheme="minorHAnsi" w:cstheme="minorHAnsi"/>
          <w:b/>
        </w:rPr>
        <w:t xml:space="preserve">Policy Statement: </w:t>
      </w:r>
      <w:r w:rsidR="00055E2A" w:rsidRPr="000D41E2">
        <w:rPr>
          <w:rFonts w:asciiTheme="minorHAnsi" w:hAnsiTheme="minorHAnsi" w:cstheme="minorHAnsi"/>
          <w:b/>
        </w:rPr>
        <w:t xml:space="preserve"> </w:t>
      </w:r>
    </w:p>
    <w:p w:rsidR="00AE0DA0" w:rsidRPr="000D41E2" w:rsidRDefault="00AE0DA0" w:rsidP="00AA55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policy conveys general operating provisions for service providers that receive WI</w:t>
      </w:r>
      <w:r w:rsidR="00E22E8F">
        <w:rPr>
          <w:rFonts w:asciiTheme="minorHAnsi" w:hAnsiTheme="minorHAnsi" w:cstheme="minorHAnsi"/>
        </w:rPr>
        <w:t>OA funding from the WD</w:t>
      </w:r>
      <w:r>
        <w:rPr>
          <w:rFonts w:asciiTheme="minorHAnsi" w:hAnsiTheme="minorHAnsi" w:cstheme="minorHAnsi"/>
        </w:rPr>
        <w:t xml:space="preserve">B. 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  <w:b/>
        </w:rPr>
      </w:pPr>
    </w:p>
    <w:p w:rsidR="00EA0762" w:rsidRPr="00EA0762" w:rsidRDefault="00EA0762" w:rsidP="00EA0762">
      <w:pPr>
        <w:numPr>
          <w:ilvl w:val="0"/>
          <w:numId w:val="28"/>
        </w:numPr>
        <w:spacing w:line="288" w:lineRule="auto"/>
        <w:rPr>
          <w:rFonts w:asciiTheme="minorHAnsi" w:hAnsiTheme="minorHAnsi" w:cstheme="minorHAnsi"/>
          <w:b/>
          <w:u w:val="single"/>
        </w:rPr>
      </w:pPr>
      <w:r w:rsidRPr="00EA0762">
        <w:rPr>
          <w:rFonts w:asciiTheme="minorHAnsi" w:hAnsiTheme="minorHAnsi" w:cstheme="minorHAnsi"/>
          <w:b/>
          <w:u w:val="single"/>
        </w:rPr>
        <w:t>Professional Development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</w:p>
    <w:p w:rsidR="00EA0762" w:rsidRPr="00EA0762" w:rsidRDefault="00E22E8F" w:rsidP="00EA0762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Region 2000 WD</w:t>
      </w:r>
      <w:r w:rsidR="00965E10">
        <w:rPr>
          <w:rFonts w:asciiTheme="minorHAnsi" w:hAnsiTheme="minorHAnsi" w:cstheme="minorHAnsi"/>
        </w:rPr>
        <w:t>B supports and encourages an environment of quality and continuous improvement through its service provider network. As part of the commitment, WI</w:t>
      </w:r>
      <w:r>
        <w:rPr>
          <w:rFonts w:asciiTheme="minorHAnsi" w:hAnsiTheme="minorHAnsi" w:cstheme="minorHAnsi"/>
        </w:rPr>
        <w:t>O</w:t>
      </w:r>
      <w:r w:rsidR="00965E10">
        <w:rPr>
          <w:rFonts w:asciiTheme="minorHAnsi" w:hAnsiTheme="minorHAnsi" w:cstheme="minorHAnsi"/>
        </w:rPr>
        <w:t xml:space="preserve">A-paid staff in </w:t>
      </w:r>
      <w:r w:rsidR="002606FC">
        <w:rPr>
          <w:rFonts w:asciiTheme="minorHAnsi" w:hAnsiTheme="minorHAnsi" w:cstheme="minorHAnsi"/>
        </w:rPr>
        <w:t xml:space="preserve">Central </w:t>
      </w:r>
      <w:r w:rsidR="00965E10">
        <w:rPr>
          <w:rFonts w:asciiTheme="minorHAnsi" w:hAnsiTheme="minorHAnsi" w:cstheme="minorHAnsi"/>
        </w:rPr>
        <w:t>Region can attend</w:t>
      </w:r>
      <w:r w:rsidR="00EA0762" w:rsidRPr="00EA0762">
        <w:rPr>
          <w:rFonts w:asciiTheme="minorHAnsi" w:hAnsiTheme="minorHAnsi" w:cstheme="minorHAnsi"/>
        </w:rPr>
        <w:t xml:space="preserve"> workshops, conferences and other</w:t>
      </w:r>
      <w:r w:rsidR="00EA0762">
        <w:rPr>
          <w:rFonts w:asciiTheme="minorHAnsi" w:hAnsiTheme="minorHAnsi" w:cstheme="minorHAnsi"/>
        </w:rPr>
        <w:t xml:space="preserve"> short-term certification or </w:t>
      </w:r>
      <w:r w:rsidR="00965E10">
        <w:rPr>
          <w:rFonts w:asciiTheme="minorHAnsi" w:hAnsiTheme="minorHAnsi" w:cstheme="minorHAnsi"/>
        </w:rPr>
        <w:t>training-related events with prior direct-supervisor approval. Such costs will be paid by WI</w:t>
      </w:r>
      <w:r>
        <w:rPr>
          <w:rFonts w:asciiTheme="minorHAnsi" w:hAnsiTheme="minorHAnsi" w:cstheme="minorHAnsi"/>
        </w:rPr>
        <w:t>O</w:t>
      </w:r>
      <w:r w:rsidR="00965E10">
        <w:rPr>
          <w:rFonts w:asciiTheme="minorHAnsi" w:hAnsiTheme="minorHAnsi" w:cstheme="minorHAnsi"/>
        </w:rPr>
        <w:t>A funds under the following guidelines: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</w:p>
    <w:p w:rsidR="00EA0762" w:rsidRPr="00EA0762" w:rsidRDefault="00965E10" w:rsidP="00EA0762">
      <w:pPr>
        <w:numPr>
          <w:ilvl w:val="0"/>
          <w:numId w:val="29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Events must be</w:t>
      </w:r>
      <w:r w:rsidR="00EA0762" w:rsidRPr="00EA0762">
        <w:rPr>
          <w:rFonts w:asciiTheme="minorHAnsi" w:hAnsiTheme="minorHAnsi" w:cstheme="minorHAnsi"/>
        </w:rPr>
        <w:t xml:space="preserve"> directly related to the practice of workforce development professionals and </w:t>
      </w:r>
      <w:r>
        <w:rPr>
          <w:rFonts w:asciiTheme="minorHAnsi" w:hAnsiTheme="minorHAnsi" w:cstheme="minorHAnsi"/>
        </w:rPr>
        <w:t xml:space="preserve">to the </w:t>
      </w:r>
      <w:r w:rsidR="00EA0762" w:rsidRPr="00EA0762">
        <w:rPr>
          <w:rFonts w:asciiTheme="minorHAnsi" w:hAnsiTheme="minorHAnsi" w:cstheme="minorHAnsi"/>
        </w:rPr>
        <w:t xml:space="preserve">employee’s daily work under </w:t>
      </w:r>
      <w:r>
        <w:rPr>
          <w:rFonts w:asciiTheme="minorHAnsi" w:hAnsiTheme="minorHAnsi" w:cstheme="minorHAnsi"/>
        </w:rPr>
        <w:t>the WI</w:t>
      </w:r>
      <w:r w:rsidR="00E22E8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A </w:t>
      </w:r>
      <w:r w:rsidR="00E22E8F">
        <w:rPr>
          <w:rFonts w:asciiTheme="minorHAnsi" w:hAnsiTheme="minorHAnsi" w:cstheme="minorHAnsi"/>
        </w:rPr>
        <w:t>agreements with the WDB.</w:t>
      </w:r>
      <w:r w:rsidR="00EA0762" w:rsidRPr="00EA0762">
        <w:rPr>
          <w:rFonts w:asciiTheme="minorHAnsi" w:hAnsiTheme="minorHAnsi" w:cstheme="minorHAnsi"/>
        </w:rPr>
        <w:t>  </w:t>
      </w:r>
    </w:p>
    <w:p w:rsidR="00EA0762" w:rsidRPr="00EA0762" w:rsidRDefault="00EA0762" w:rsidP="00EA0762">
      <w:pPr>
        <w:numPr>
          <w:ilvl w:val="0"/>
          <w:numId w:val="29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Sufficient staff coverage </w:t>
      </w:r>
      <w:r w:rsidR="00965E10">
        <w:rPr>
          <w:rFonts w:asciiTheme="minorHAnsi" w:hAnsiTheme="minorHAnsi" w:cstheme="minorHAnsi"/>
        </w:rPr>
        <w:t>must be</w:t>
      </w:r>
      <w:r w:rsidRPr="00EA0762">
        <w:rPr>
          <w:rFonts w:asciiTheme="minorHAnsi" w:hAnsiTheme="minorHAnsi" w:cstheme="minorHAnsi"/>
        </w:rPr>
        <w:t xml:space="preserve"> available or alternate arrangements are made so as not to negatively impact del</w:t>
      </w:r>
      <w:r w:rsidR="00E22E8F">
        <w:rPr>
          <w:rFonts w:asciiTheme="minorHAnsi" w:hAnsiTheme="minorHAnsi" w:cstheme="minorHAnsi"/>
        </w:rPr>
        <w:t>ivery of services to customers.</w:t>
      </w:r>
    </w:p>
    <w:p w:rsidR="00EA0762" w:rsidRPr="00EA0762" w:rsidRDefault="00EA0762" w:rsidP="00EA0762">
      <w:pPr>
        <w:numPr>
          <w:ilvl w:val="0"/>
          <w:numId w:val="29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Costs </w:t>
      </w:r>
      <w:r w:rsidR="00965E10">
        <w:rPr>
          <w:rFonts w:asciiTheme="minorHAnsi" w:hAnsiTheme="minorHAnsi" w:cstheme="minorHAnsi"/>
        </w:rPr>
        <w:t>must be</w:t>
      </w:r>
      <w:r w:rsidRPr="00EA0762">
        <w:rPr>
          <w:rFonts w:asciiTheme="minorHAnsi" w:hAnsiTheme="minorHAnsi" w:cstheme="minorHAnsi"/>
        </w:rPr>
        <w:t xml:space="preserve"> reasonable within the scope of currently </w:t>
      </w:r>
      <w:r w:rsidR="00965E10">
        <w:rPr>
          <w:rFonts w:asciiTheme="minorHAnsi" w:hAnsiTheme="minorHAnsi" w:cstheme="minorHAnsi"/>
        </w:rPr>
        <w:t xml:space="preserve">available </w:t>
      </w:r>
      <w:r w:rsidRPr="00EA0762">
        <w:rPr>
          <w:rFonts w:asciiTheme="minorHAnsi" w:hAnsiTheme="minorHAnsi" w:cstheme="minorHAnsi"/>
        </w:rPr>
        <w:t>approved budgets, unexpended funding and cost accounting principles.</w:t>
      </w:r>
    </w:p>
    <w:p w:rsidR="00EA0762" w:rsidRPr="00EA0762" w:rsidRDefault="00EA0762" w:rsidP="00EA0762">
      <w:pPr>
        <w:numPr>
          <w:ilvl w:val="0"/>
          <w:numId w:val="29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Any professional development event that has </w:t>
      </w:r>
      <w:r w:rsidR="002F53DA">
        <w:rPr>
          <w:rFonts w:asciiTheme="minorHAnsi" w:hAnsiTheme="minorHAnsi" w:cstheme="minorHAnsi"/>
        </w:rPr>
        <w:t xml:space="preserve">a combined cost in </w:t>
      </w:r>
      <w:r w:rsidRPr="00EA0762">
        <w:rPr>
          <w:rFonts w:asciiTheme="minorHAnsi" w:hAnsiTheme="minorHAnsi" w:cstheme="minorHAnsi"/>
        </w:rPr>
        <w:t>exce</w:t>
      </w:r>
      <w:r w:rsidR="002F53DA">
        <w:rPr>
          <w:rFonts w:asciiTheme="minorHAnsi" w:hAnsiTheme="minorHAnsi" w:cstheme="minorHAnsi"/>
        </w:rPr>
        <w:t>ss of</w:t>
      </w:r>
      <w:r w:rsidRPr="00EA0762">
        <w:rPr>
          <w:rFonts w:asciiTheme="minorHAnsi" w:hAnsiTheme="minorHAnsi" w:cstheme="minorHAnsi"/>
        </w:rPr>
        <w:t xml:space="preserve"> $500 in total </w:t>
      </w:r>
      <w:r w:rsidR="002F53DA">
        <w:rPr>
          <w:rFonts w:asciiTheme="minorHAnsi" w:hAnsiTheme="minorHAnsi" w:cstheme="minorHAnsi"/>
        </w:rPr>
        <w:t xml:space="preserve">(inclusive of travel, meals etc.) </w:t>
      </w:r>
      <w:r w:rsidRPr="00EA0762">
        <w:rPr>
          <w:rFonts w:asciiTheme="minorHAnsi" w:hAnsiTheme="minorHAnsi" w:cstheme="minorHAnsi"/>
        </w:rPr>
        <w:t xml:space="preserve">requires advance </w:t>
      </w:r>
      <w:r w:rsidR="002F53DA">
        <w:rPr>
          <w:rFonts w:asciiTheme="minorHAnsi" w:hAnsiTheme="minorHAnsi" w:cstheme="minorHAnsi"/>
        </w:rPr>
        <w:t xml:space="preserve">written </w:t>
      </w:r>
      <w:r w:rsidR="00E22E8F">
        <w:rPr>
          <w:rFonts w:asciiTheme="minorHAnsi" w:hAnsiTheme="minorHAnsi" w:cstheme="minorHAnsi"/>
        </w:rPr>
        <w:t>approval from the WD</w:t>
      </w:r>
      <w:r w:rsidRPr="00EA0762">
        <w:rPr>
          <w:rFonts w:asciiTheme="minorHAnsi" w:hAnsiTheme="minorHAnsi" w:cstheme="minorHAnsi"/>
        </w:rPr>
        <w:t>B Director.</w:t>
      </w:r>
    </w:p>
    <w:p w:rsidR="00EA0762" w:rsidRPr="00EA0762" w:rsidRDefault="00E22E8F" w:rsidP="00EA0762">
      <w:pPr>
        <w:numPr>
          <w:ilvl w:val="0"/>
          <w:numId w:val="29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not a </w:t>
      </w:r>
      <w:r w:rsidRPr="00E22E8F">
        <w:rPr>
          <w:rFonts w:asciiTheme="minorHAnsi" w:hAnsiTheme="minorHAnsi" w:cstheme="minorHAnsi"/>
          <w:i/>
        </w:rPr>
        <w:t>per diem</w:t>
      </w:r>
      <w:r>
        <w:rPr>
          <w:rFonts w:asciiTheme="minorHAnsi" w:hAnsiTheme="minorHAnsi" w:cstheme="minorHAnsi"/>
        </w:rPr>
        <w:t xml:space="preserve"> rate. </w:t>
      </w:r>
      <w:r w:rsidR="00EA0762" w:rsidRPr="00EA0762">
        <w:rPr>
          <w:rFonts w:asciiTheme="minorHAnsi" w:hAnsiTheme="minorHAnsi" w:cstheme="minorHAnsi"/>
        </w:rPr>
        <w:t xml:space="preserve">Only actual costs will be paid upon submission of sufficient supporting documentation/receipts. </w:t>
      </w:r>
      <w:r w:rsidR="00B91F84">
        <w:rPr>
          <w:rFonts w:asciiTheme="minorHAnsi" w:hAnsiTheme="minorHAnsi" w:cstheme="minorHAnsi"/>
        </w:rPr>
        <w:t xml:space="preserve"> In no instance can the amount</w:t>
      </w:r>
      <w:r w:rsidR="00EA0762" w:rsidRPr="00EA0762">
        <w:rPr>
          <w:rFonts w:asciiTheme="minorHAnsi" w:hAnsiTheme="minorHAnsi" w:cstheme="minorHAnsi"/>
        </w:rPr>
        <w:t xml:space="preserve"> exceed Virginia state allowances</w:t>
      </w:r>
      <w:r w:rsidR="00B91F84">
        <w:rPr>
          <w:rFonts w:asciiTheme="minorHAnsi" w:hAnsiTheme="minorHAnsi" w:cstheme="minorHAnsi"/>
        </w:rPr>
        <w:t xml:space="preserve"> in place that coincide with the date of the occurrence of the </w:t>
      </w:r>
      <w:r w:rsidR="00EA0762" w:rsidRPr="00EA0762">
        <w:rPr>
          <w:rFonts w:asciiTheme="minorHAnsi" w:hAnsiTheme="minorHAnsi" w:cstheme="minorHAnsi"/>
        </w:rPr>
        <w:t>expense(s).</w:t>
      </w:r>
      <w:r w:rsidR="00EA0762" w:rsidRPr="00EA0762">
        <w:rPr>
          <w:rFonts w:asciiTheme="minorHAnsi" w:hAnsiTheme="minorHAnsi" w:cstheme="minorHAnsi"/>
        </w:rPr>
        <w:br/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  <w:i/>
        </w:rPr>
      </w:pPr>
      <w:r w:rsidRPr="00EA0762">
        <w:rPr>
          <w:rFonts w:asciiTheme="minorHAnsi" w:hAnsiTheme="minorHAnsi" w:cstheme="minorHAnsi"/>
          <w:i/>
        </w:rPr>
        <w:t>Note: Tuition reimbursement for college coursework for employees of W</w:t>
      </w:r>
      <w:r w:rsidR="001C0A6C">
        <w:rPr>
          <w:rFonts w:asciiTheme="minorHAnsi" w:hAnsiTheme="minorHAnsi" w:cstheme="minorHAnsi"/>
          <w:i/>
        </w:rPr>
        <w:t>D</w:t>
      </w:r>
      <w:r w:rsidRPr="00EA0762">
        <w:rPr>
          <w:rFonts w:asciiTheme="minorHAnsi" w:hAnsiTheme="minorHAnsi" w:cstheme="minorHAnsi"/>
          <w:i/>
        </w:rPr>
        <w:t xml:space="preserve">B-contracted service providers will only be considered on a case-by-case basis. </w:t>
      </w:r>
      <w:r w:rsidR="00933B3E" w:rsidRPr="00EA0762">
        <w:rPr>
          <w:rFonts w:asciiTheme="minorHAnsi" w:hAnsiTheme="minorHAnsi" w:cstheme="minorHAnsi"/>
          <w:i/>
        </w:rPr>
        <w:t xml:space="preserve">A written request with justification must </w:t>
      </w:r>
      <w:r w:rsidR="00933B3E">
        <w:rPr>
          <w:rFonts w:asciiTheme="minorHAnsi" w:hAnsiTheme="minorHAnsi" w:cstheme="minorHAnsi"/>
          <w:i/>
        </w:rPr>
        <w:t xml:space="preserve">be </w:t>
      </w:r>
      <w:r w:rsidR="001C0A6C">
        <w:rPr>
          <w:rFonts w:asciiTheme="minorHAnsi" w:hAnsiTheme="minorHAnsi" w:cstheme="minorHAnsi"/>
          <w:i/>
        </w:rPr>
        <w:t>submitted to the WD</w:t>
      </w:r>
      <w:r w:rsidR="00933B3E" w:rsidRPr="00EA0762">
        <w:rPr>
          <w:rFonts w:asciiTheme="minorHAnsi" w:hAnsiTheme="minorHAnsi" w:cstheme="minorHAnsi"/>
          <w:i/>
        </w:rPr>
        <w:t>B Direct</w:t>
      </w:r>
      <w:r w:rsidR="001C0A6C">
        <w:rPr>
          <w:rFonts w:asciiTheme="minorHAnsi" w:hAnsiTheme="minorHAnsi" w:cstheme="minorHAnsi"/>
          <w:i/>
        </w:rPr>
        <w:t>or, who will consult with the WD</w:t>
      </w:r>
      <w:r w:rsidR="00933B3E" w:rsidRPr="00EA0762">
        <w:rPr>
          <w:rFonts w:asciiTheme="minorHAnsi" w:hAnsiTheme="minorHAnsi" w:cstheme="minorHAnsi"/>
          <w:i/>
        </w:rPr>
        <w:t xml:space="preserve">B chair and/or Executive Committee before issuing a response.  </w:t>
      </w:r>
      <w:r w:rsidRPr="00EA0762">
        <w:rPr>
          <w:rFonts w:asciiTheme="minorHAnsi" w:hAnsiTheme="minorHAnsi" w:cstheme="minorHAnsi"/>
          <w:i/>
        </w:rPr>
        <w:t xml:space="preserve">Any such approval will be governed by the applicable provisions of the </w:t>
      </w:r>
      <w:bookmarkStart w:id="0" w:name="_Hlk519076278"/>
      <w:bookmarkStart w:id="1" w:name="_GoBack"/>
      <w:bookmarkEnd w:id="1"/>
      <w:r w:rsidRPr="002606FC">
        <w:rPr>
          <w:rFonts w:asciiTheme="minorHAnsi" w:hAnsiTheme="minorHAnsi" w:cstheme="minorHAnsi"/>
          <w:i/>
        </w:rPr>
        <w:t>Region 2000 Local Government Council</w:t>
      </w:r>
      <w:r w:rsidRPr="00EA0762">
        <w:rPr>
          <w:rFonts w:asciiTheme="minorHAnsi" w:hAnsiTheme="minorHAnsi" w:cstheme="minorHAnsi"/>
          <w:i/>
        </w:rPr>
        <w:t xml:space="preserve"> </w:t>
      </w:r>
      <w:bookmarkEnd w:id="0"/>
      <w:r w:rsidRPr="00EA0762">
        <w:rPr>
          <w:rFonts w:asciiTheme="minorHAnsi" w:hAnsiTheme="minorHAnsi" w:cstheme="minorHAnsi"/>
          <w:i/>
        </w:rPr>
        <w:t>“Personnel Rules and Regulations Employee Handbook” as may be in place at the time of the request.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</w:p>
    <w:p w:rsidR="00EA0762" w:rsidRPr="00EA0762" w:rsidRDefault="00EA0762" w:rsidP="00EA0762">
      <w:pPr>
        <w:numPr>
          <w:ilvl w:val="0"/>
          <w:numId w:val="28"/>
        </w:numPr>
        <w:spacing w:line="288" w:lineRule="auto"/>
        <w:rPr>
          <w:rFonts w:asciiTheme="minorHAnsi" w:hAnsiTheme="minorHAnsi" w:cstheme="minorHAnsi"/>
          <w:b/>
          <w:u w:val="single"/>
        </w:rPr>
      </w:pPr>
      <w:r w:rsidRPr="00EA0762">
        <w:rPr>
          <w:rFonts w:asciiTheme="minorHAnsi" w:hAnsiTheme="minorHAnsi" w:cstheme="minorHAnsi"/>
          <w:b/>
          <w:u w:val="single"/>
        </w:rPr>
        <w:lastRenderedPageBreak/>
        <w:t>General Finance and Purchasing Provisions</w:t>
      </w:r>
      <w:r w:rsidRPr="00EA0762">
        <w:rPr>
          <w:rFonts w:asciiTheme="minorHAnsi" w:hAnsiTheme="minorHAnsi" w:cstheme="minorHAnsi"/>
          <w:b/>
          <w:u w:val="single"/>
        </w:rPr>
        <w:br/>
      </w:r>
    </w:p>
    <w:p w:rsidR="00530B21" w:rsidRPr="00530B21" w:rsidRDefault="00530B21" w:rsidP="002606FC">
      <w:pPr>
        <w:pStyle w:val="ListParagraph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b/>
          <w:u w:val="single"/>
        </w:rPr>
      </w:pPr>
      <w:r w:rsidRPr="00530B21">
        <w:rPr>
          <w:rFonts w:asciiTheme="minorHAnsi" w:hAnsiTheme="minorHAnsi" w:cstheme="minorHAnsi"/>
        </w:rPr>
        <w:t xml:space="preserve">The WIOA Title 1 Youth Program will be operated by the </w:t>
      </w:r>
      <w:r w:rsidR="002606FC" w:rsidRPr="002606FC">
        <w:rPr>
          <w:rFonts w:asciiTheme="minorHAnsi" w:hAnsiTheme="minorHAnsi" w:cstheme="minorHAnsi"/>
        </w:rPr>
        <w:t xml:space="preserve">Central Virginia </w:t>
      </w:r>
      <w:r w:rsidRPr="00530B21">
        <w:rPr>
          <w:rFonts w:asciiTheme="minorHAnsi" w:hAnsiTheme="minorHAnsi" w:cstheme="minorHAnsi"/>
        </w:rPr>
        <w:t xml:space="preserve">Workforce Development Board. </w:t>
      </w:r>
    </w:p>
    <w:p w:rsidR="009460DD" w:rsidRPr="00530B21" w:rsidRDefault="00530B21" w:rsidP="00EA0762">
      <w:pPr>
        <w:pStyle w:val="ListParagraph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b/>
          <w:u w:val="single"/>
        </w:rPr>
      </w:pPr>
      <w:r w:rsidRPr="00530B21">
        <w:rPr>
          <w:rFonts w:asciiTheme="minorHAnsi" w:hAnsiTheme="minorHAnsi" w:cstheme="minorHAnsi"/>
        </w:rPr>
        <w:t xml:space="preserve">The Adult </w:t>
      </w:r>
      <w:r w:rsidR="0049093A" w:rsidRPr="00530B21">
        <w:rPr>
          <w:rFonts w:asciiTheme="minorHAnsi" w:hAnsiTheme="minorHAnsi" w:cstheme="minorHAnsi"/>
        </w:rPr>
        <w:t>and O</w:t>
      </w:r>
      <w:r w:rsidR="009460DD" w:rsidRPr="00530B21">
        <w:rPr>
          <w:rFonts w:asciiTheme="minorHAnsi" w:hAnsiTheme="minorHAnsi" w:cstheme="minorHAnsi"/>
        </w:rPr>
        <w:t>ne-</w:t>
      </w:r>
      <w:r w:rsidR="0049093A" w:rsidRPr="00530B21">
        <w:rPr>
          <w:rFonts w:asciiTheme="minorHAnsi" w:hAnsiTheme="minorHAnsi" w:cstheme="minorHAnsi"/>
        </w:rPr>
        <w:t>S</w:t>
      </w:r>
      <w:r w:rsidR="009460DD" w:rsidRPr="00530B21">
        <w:rPr>
          <w:rFonts w:asciiTheme="minorHAnsi" w:hAnsiTheme="minorHAnsi" w:cstheme="minorHAnsi"/>
        </w:rPr>
        <w:t xml:space="preserve">top </w:t>
      </w:r>
      <w:r w:rsidR="0049093A" w:rsidRPr="00530B21">
        <w:rPr>
          <w:rFonts w:asciiTheme="minorHAnsi" w:hAnsiTheme="minorHAnsi" w:cstheme="minorHAnsi"/>
        </w:rPr>
        <w:t>O</w:t>
      </w:r>
      <w:r w:rsidR="009460DD" w:rsidRPr="00530B21">
        <w:rPr>
          <w:rFonts w:asciiTheme="minorHAnsi" w:hAnsiTheme="minorHAnsi" w:cstheme="minorHAnsi"/>
        </w:rPr>
        <w:t>perator service</w:t>
      </w:r>
      <w:r w:rsidR="0049093A" w:rsidRPr="00530B21">
        <w:rPr>
          <w:rFonts w:asciiTheme="minorHAnsi" w:hAnsiTheme="minorHAnsi" w:cstheme="minorHAnsi"/>
        </w:rPr>
        <w:t>s</w:t>
      </w:r>
      <w:r w:rsidRPr="00530B21">
        <w:rPr>
          <w:rFonts w:asciiTheme="minorHAnsi" w:hAnsiTheme="minorHAnsi" w:cstheme="minorHAnsi"/>
        </w:rPr>
        <w:t xml:space="preserve"> are provided by</w:t>
      </w:r>
      <w:r w:rsidR="009460DD" w:rsidRPr="00530B21">
        <w:rPr>
          <w:rFonts w:asciiTheme="minorHAnsi" w:hAnsiTheme="minorHAnsi" w:cstheme="minorHAnsi"/>
        </w:rPr>
        <w:t xml:space="preserve"> </w:t>
      </w:r>
      <w:r w:rsidRPr="00530B21">
        <w:rPr>
          <w:rFonts w:asciiTheme="minorHAnsi" w:hAnsiTheme="minorHAnsi" w:cstheme="minorHAnsi"/>
        </w:rPr>
        <w:t>HumanKind</w:t>
      </w:r>
      <w:r w:rsidR="009460DD" w:rsidRPr="00530B21">
        <w:rPr>
          <w:rFonts w:asciiTheme="minorHAnsi" w:hAnsiTheme="minorHAnsi" w:cstheme="minorHAnsi"/>
        </w:rPr>
        <w:t>.</w:t>
      </w:r>
      <w:r w:rsidRPr="00530B21">
        <w:rPr>
          <w:rFonts w:asciiTheme="minorHAnsi" w:hAnsiTheme="minorHAnsi" w:cstheme="minorHAnsi"/>
        </w:rPr>
        <w:t xml:space="preserve"> And the Dislocated Worker Program is operated by the Virginia Employment Commission. </w:t>
      </w:r>
      <w:r w:rsidR="009460DD" w:rsidRPr="00530B21">
        <w:rPr>
          <w:rFonts w:asciiTheme="minorHAnsi" w:hAnsiTheme="minorHAnsi" w:cstheme="minorHAnsi"/>
        </w:rPr>
        <w:t xml:space="preserve"> </w:t>
      </w:r>
      <w:r w:rsidR="00F74A32" w:rsidRPr="00530B21">
        <w:rPr>
          <w:rFonts w:asciiTheme="minorHAnsi" w:hAnsiTheme="minorHAnsi" w:cstheme="minorHAnsi"/>
        </w:rPr>
        <w:t>Most WI</w:t>
      </w:r>
      <w:r w:rsidR="002731FA" w:rsidRPr="00530B21">
        <w:rPr>
          <w:rFonts w:asciiTheme="minorHAnsi" w:hAnsiTheme="minorHAnsi" w:cstheme="minorHAnsi"/>
        </w:rPr>
        <w:t>O</w:t>
      </w:r>
      <w:r w:rsidRPr="00530B21">
        <w:rPr>
          <w:rFonts w:asciiTheme="minorHAnsi" w:hAnsiTheme="minorHAnsi" w:cstheme="minorHAnsi"/>
        </w:rPr>
        <w:t>A expenses incurred by the training providers</w:t>
      </w:r>
      <w:r w:rsidR="00F74A32" w:rsidRPr="00530B21">
        <w:rPr>
          <w:rFonts w:asciiTheme="minorHAnsi" w:hAnsiTheme="minorHAnsi" w:cstheme="minorHAnsi"/>
        </w:rPr>
        <w:t xml:space="preserve"> </w:t>
      </w:r>
      <w:r w:rsidR="009460DD" w:rsidRPr="00530B21">
        <w:rPr>
          <w:rFonts w:asciiTheme="minorHAnsi" w:hAnsiTheme="minorHAnsi" w:cstheme="minorHAnsi"/>
        </w:rPr>
        <w:t xml:space="preserve">are paid directly through the </w:t>
      </w:r>
      <w:r w:rsidR="0049093A" w:rsidRPr="00530B21">
        <w:rPr>
          <w:rFonts w:asciiTheme="minorHAnsi" w:hAnsiTheme="minorHAnsi" w:cstheme="minorHAnsi"/>
        </w:rPr>
        <w:t xml:space="preserve">local </w:t>
      </w:r>
      <w:r w:rsidR="00C56140" w:rsidRPr="00530B21">
        <w:rPr>
          <w:rFonts w:asciiTheme="minorHAnsi" w:hAnsiTheme="minorHAnsi" w:cstheme="minorHAnsi"/>
        </w:rPr>
        <w:t>WIOA</w:t>
      </w:r>
      <w:r w:rsidR="009460DD" w:rsidRPr="00530B21">
        <w:rPr>
          <w:rFonts w:asciiTheme="minorHAnsi" w:hAnsiTheme="minorHAnsi" w:cstheme="minorHAnsi"/>
        </w:rPr>
        <w:t xml:space="preserve"> fiscal agent.</w:t>
      </w:r>
    </w:p>
    <w:p w:rsidR="009460DD" w:rsidRPr="009460DD" w:rsidRDefault="009460DD" w:rsidP="00EA0762">
      <w:pPr>
        <w:pStyle w:val="ListParagraph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Regardless of the expense-based arrangement, the following applies to </w:t>
      </w:r>
      <w:r w:rsidRPr="009460DD">
        <w:rPr>
          <w:rFonts w:asciiTheme="minorHAnsi" w:hAnsiTheme="minorHAnsi" w:cstheme="minorHAnsi"/>
          <w:b/>
          <w:u w:val="single"/>
        </w:rPr>
        <w:t>all</w:t>
      </w:r>
      <w:r w:rsidR="00C56140">
        <w:rPr>
          <w:rFonts w:asciiTheme="minorHAnsi" w:hAnsiTheme="minorHAnsi" w:cstheme="minorHAnsi"/>
        </w:rPr>
        <w:t xml:space="preserve"> WDB</w:t>
      </w:r>
      <w:r>
        <w:rPr>
          <w:rFonts w:asciiTheme="minorHAnsi" w:hAnsiTheme="minorHAnsi" w:cstheme="minorHAnsi"/>
        </w:rPr>
        <w:t xml:space="preserve"> service providers with respect to WI</w:t>
      </w:r>
      <w:r w:rsidR="00C5614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A funds:</w:t>
      </w:r>
    </w:p>
    <w:p w:rsidR="00C72800" w:rsidRPr="00C72800" w:rsidRDefault="00EB36F1" w:rsidP="009460DD">
      <w:pPr>
        <w:pStyle w:val="ListParagraph"/>
        <w:numPr>
          <w:ilvl w:val="1"/>
          <w:numId w:val="30"/>
        </w:numPr>
        <w:spacing w:line="288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If a service provider is not already bound to the Virginia Public Procurement Act in its overall operations, it shall follow the provisions of the</w:t>
      </w:r>
      <w:r w:rsidR="00C72800" w:rsidRPr="00C72800">
        <w:rPr>
          <w:rFonts w:asciiTheme="minorHAnsi" w:hAnsiTheme="minorHAnsi" w:cstheme="minorHAnsi"/>
        </w:rPr>
        <w:t xml:space="preserve"> </w:t>
      </w:r>
      <w:r w:rsidR="00C72800" w:rsidRPr="002606FC">
        <w:rPr>
          <w:rFonts w:asciiTheme="minorHAnsi" w:hAnsiTheme="minorHAnsi" w:cstheme="minorHAnsi"/>
        </w:rPr>
        <w:t>Region 2000 Local Governm</w:t>
      </w:r>
      <w:r w:rsidRPr="002606FC">
        <w:rPr>
          <w:rFonts w:asciiTheme="minorHAnsi" w:hAnsiTheme="minorHAnsi" w:cstheme="minorHAnsi"/>
        </w:rPr>
        <w:t>ent Council</w:t>
      </w:r>
      <w:r>
        <w:rPr>
          <w:rFonts w:asciiTheme="minorHAnsi" w:hAnsiTheme="minorHAnsi" w:cstheme="minorHAnsi"/>
        </w:rPr>
        <w:t xml:space="preserve"> Procurement Policy.</w:t>
      </w:r>
    </w:p>
    <w:p w:rsidR="00C72800" w:rsidRPr="00C72800" w:rsidRDefault="00EB36F1" w:rsidP="009460DD">
      <w:pPr>
        <w:pStyle w:val="ListParagraph"/>
        <w:numPr>
          <w:ilvl w:val="1"/>
          <w:numId w:val="30"/>
        </w:numPr>
        <w:spacing w:line="288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Purchase of a</w:t>
      </w:r>
      <w:r w:rsidR="00C72800" w:rsidRPr="00C72800">
        <w:rPr>
          <w:rFonts w:asciiTheme="minorHAnsi" w:hAnsiTheme="minorHAnsi" w:cstheme="minorHAnsi"/>
        </w:rPr>
        <w:t>ny single</w:t>
      </w:r>
      <w:r w:rsidR="00602DAA">
        <w:rPr>
          <w:rFonts w:asciiTheme="minorHAnsi" w:hAnsiTheme="minorHAnsi" w:cstheme="minorHAnsi"/>
        </w:rPr>
        <w:t xml:space="preserve"> operational-based </w:t>
      </w:r>
      <w:r w:rsidR="00C72800" w:rsidRPr="00C72800">
        <w:rPr>
          <w:rFonts w:asciiTheme="minorHAnsi" w:hAnsiTheme="minorHAnsi" w:cstheme="minorHAnsi"/>
        </w:rPr>
        <w:t xml:space="preserve">item </w:t>
      </w:r>
      <w:r>
        <w:rPr>
          <w:rFonts w:asciiTheme="minorHAnsi" w:hAnsiTheme="minorHAnsi" w:cstheme="minorHAnsi"/>
        </w:rPr>
        <w:t xml:space="preserve">(equipment, furniture, consumable products) </w:t>
      </w:r>
      <w:r w:rsidR="009460DD" w:rsidRPr="00C72800">
        <w:rPr>
          <w:rFonts w:asciiTheme="minorHAnsi" w:hAnsiTheme="minorHAnsi" w:cstheme="minorHAnsi"/>
        </w:rPr>
        <w:t>with a cost greater than $500 requires advance approval from the WIB director.</w:t>
      </w:r>
      <w:r w:rsidR="0049093A">
        <w:rPr>
          <w:rFonts w:asciiTheme="minorHAnsi" w:hAnsiTheme="minorHAnsi" w:cstheme="minorHAnsi"/>
        </w:rPr>
        <w:t xml:space="preserve"> (This does not </w:t>
      </w:r>
      <w:r>
        <w:rPr>
          <w:rFonts w:asciiTheme="minorHAnsi" w:hAnsiTheme="minorHAnsi" w:cstheme="minorHAnsi"/>
        </w:rPr>
        <w:t>apply to costs for service-related items incurred directly on behalf of customers</w:t>
      </w:r>
      <w:r w:rsidR="0049093A">
        <w:rPr>
          <w:rFonts w:asciiTheme="minorHAnsi" w:hAnsiTheme="minorHAnsi" w:cstheme="minorHAnsi"/>
        </w:rPr>
        <w:t xml:space="preserve"> (tuition, books, equipment, clothing etc</w:t>
      </w:r>
      <w:r w:rsidR="00602DAA">
        <w:rPr>
          <w:rFonts w:asciiTheme="minorHAnsi" w:hAnsiTheme="minorHAnsi" w:cstheme="minorHAnsi"/>
        </w:rPr>
        <w:t>.)</w:t>
      </w:r>
      <w:r w:rsidR="0049093A">
        <w:rPr>
          <w:rFonts w:asciiTheme="minorHAnsi" w:hAnsiTheme="minorHAnsi" w:cstheme="minorHAnsi"/>
        </w:rPr>
        <w:t>.</w:t>
      </w:r>
      <w:r w:rsidR="00602DAA">
        <w:rPr>
          <w:rFonts w:asciiTheme="minorHAnsi" w:hAnsiTheme="minorHAnsi" w:cstheme="minorHAnsi"/>
        </w:rPr>
        <w:t xml:space="preserve">  </w:t>
      </w:r>
      <w:r w:rsidR="00602DAA" w:rsidRPr="00602DAA">
        <w:rPr>
          <w:rFonts w:asciiTheme="minorHAnsi" w:hAnsiTheme="minorHAnsi" w:cstheme="minorHAnsi"/>
          <w:i/>
        </w:rPr>
        <w:t>N</w:t>
      </w:r>
      <w:r w:rsidR="00C56140">
        <w:rPr>
          <w:rFonts w:asciiTheme="minorHAnsi" w:hAnsiTheme="minorHAnsi" w:cstheme="minorHAnsi"/>
          <w:i/>
        </w:rPr>
        <w:t>ote: Other WD</w:t>
      </w:r>
      <w:r w:rsidR="00602DAA">
        <w:rPr>
          <w:rFonts w:asciiTheme="minorHAnsi" w:hAnsiTheme="minorHAnsi" w:cstheme="minorHAnsi"/>
          <w:i/>
        </w:rPr>
        <w:t>B policies may govern these types of costs.</w:t>
      </w:r>
    </w:p>
    <w:p w:rsidR="00C72800" w:rsidRPr="00C72800" w:rsidRDefault="00602DAA" w:rsidP="009460DD">
      <w:pPr>
        <w:pStyle w:val="ListParagraph"/>
        <w:numPr>
          <w:ilvl w:val="1"/>
          <w:numId w:val="30"/>
        </w:numPr>
        <w:spacing w:line="288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Incurred expenses</w:t>
      </w:r>
      <w:r w:rsidR="00C72800" w:rsidRPr="00C72800">
        <w:rPr>
          <w:rFonts w:asciiTheme="minorHAnsi" w:hAnsiTheme="minorHAnsi" w:cstheme="minorHAnsi"/>
        </w:rPr>
        <w:t xml:space="preserve"> must fall within the l</w:t>
      </w:r>
      <w:r w:rsidR="00C56140">
        <w:rPr>
          <w:rFonts w:asciiTheme="minorHAnsi" w:hAnsiTheme="minorHAnsi" w:cstheme="minorHAnsi"/>
        </w:rPr>
        <w:t>ine item cost category in the WD</w:t>
      </w:r>
      <w:r w:rsidR="00C72800" w:rsidRPr="00C72800">
        <w:rPr>
          <w:rFonts w:asciiTheme="minorHAnsi" w:hAnsiTheme="minorHAnsi" w:cstheme="minorHAnsi"/>
        </w:rPr>
        <w:t>B approved budget in place at the time an expense is incurred.</w:t>
      </w:r>
    </w:p>
    <w:p w:rsidR="00602DAA" w:rsidRPr="00602DAA" w:rsidRDefault="00602DAA" w:rsidP="009460DD">
      <w:pPr>
        <w:pStyle w:val="ListParagraph"/>
        <w:numPr>
          <w:ilvl w:val="1"/>
          <w:numId w:val="30"/>
        </w:numPr>
        <w:spacing w:line="288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WI</w:t>
      </w:r>
      <w:r w:rsidR="00C5614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A service providers </w:t>
      </w:r>
      <w:r w:rsidR="00C56140">
        <w:rPr>
          <w:rFonts w:asciiTheme="minorHAnsi" w:hAnsiTheme="minorHAnsi" w:cstheme="minorHAnsi"/>
        </w:rPr>
        <w:t>are expected to monitor their WD</w:t>
      </w:r>
      <w:r>
        <w:rPr>
          <w:rFonts w:asciiTheme="minorHAnsi" w:hAnsiTheme="minorHAnsi" w:cstheme="minorHAnsi"/>
        </w:rPr>
        <w:t xml:space="preserve">B-approved line item </w:t>
      </w:r>
      <w:r w:rsidR="00933B3E">
        <w:rPr>
          <w:rFonts w:asciiTheme="minorHAnsi" w:hAnsiTheme="minorHAnsi" w:cstheme="minorHAnsi"/>
        </w:rPr>
        <w:t>budgets</w:t>
      </w:r>
      <w:r w:rsidR="00C56140">
        <w:rPr>
          <w:rFonts w:asciiTheme="minorHAnsi" w:hAnsiTheme="minorHAnsi" w:cstheme="minorHAnsi"/>
        </w:rPr>
        <w:t xml:space="preserve"> and notify the WD</w:t>
      </w:r>
      <w:r>
        <w:rPr>
          <w:rFonts w:asciiTheme="minorHAnsi" w:hAnsiTheme="minorHAnsi" w:cstheme="minorHAnsi"/>
        </w:rPr>
        <w:t>B director should it become necessary to modify the line item amounts during the course of a program year.</w:t>
      </w:r>
    </w:p>
    <w:p w:rsidR="00EA0762" w:rsidRPr="00C72800" w:rsidRDefault="00C56140" w:rsidP="009460DD">
      <w:pPr>
        <w:pStyle w:val="ListParagraph"/>
        <w:numPr>
          <w:ilvl w:val="1"/>
          <w:numId w:val="30"/>
        </w:numPr>
        <w:spacing w:line="288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All expenses charged to WIO</w:t>
      </w:r>
      <w:r w:rsidR="00602DAA">
        <w:rPr>
          <w:rFonts w:asciiTheme="minorHAnsi" w:hAnsiTheme="minorHAnsi" w:cstheme="minorHAnsi"/>
        </w:rPr>
        <w:t>A grant funds require supporting documentation as required by the local WIA fiscal agent.</w:t>
      </w:r>
      <w:r w:rsidR="00EA0762" w:rsidRPr="00C72800">
        <w:rPr>
          <w:rFonts w:asciiTheme="minorHAnsi" w:hAnsiTheme="minorHAnsi" w:cstheme="minorHAnsi"/>
          <w:u w:val="single"/>
        </w:rPr>
        <w:br/>
      </w:r>
    </w:p>
    <w:p w:rsidR="00EA0762" w:rsidRPr="00EA0762" w:rsidRDefault="00EA0762" w:rsidP="00EA0762">
      <w:pPr>
        <w:pStyle w:val="ListParagraph"/>
        <w:numPr>
          <w:ilvl w:val="0"/>
          <w:numId w:val="28"/>
        </w:numPr>
        <w:spacing w:line="288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Food and B</w:t>
      </w:r>
      <w:r w:rsidRPr="00EA0762">
        <w:rPr>
          <w:rFonts w:asciiTheme="minorHAnsi" w:hAnsiTheme="minorHAnsi" w:cstheme="minorHAnsi"/>
          <w:b/>
          <w:u w:val="single"/>
        </w:rPr>
        <w:t>everage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</w:p>
    <w:p w:rsidR="00EA0762" w:rsidRPr="00EA0762" w:rsidRDefault="00EA0762" w:rsidP="00EA0762">
      <w:pPr>
        <w:numPr>
          <w:ilvl w:val="0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Food, beverages and related supplies </w:t>
      </w:r>
      <w:r w:rsidR="00F74A32">
        <w:rPr>
          <w:rFonts w:asciiTheme="minorHAnsi" w:hAnsiTheme="minorHAnsi" w:cstheme="minorHAnsi"/>
        </w:rPr>
        <w:t xml:space="preserve">in relation to meetings or other similar events </w:t>
      </w:r>
      <w:r w:rsidRPr="00EA0762">
        <w:rPr>
          <w:rFonts w:asciiTheme="minorHAnsi" w:hAnsiTheme="minorHAnsi" w:cstheme="minorHAnsi"/>
        </w:rPr>
        <w:t>may only be charged to W</w:t>
      </w:r>
      <w:r w:rsidR="00C56140">
        <w:rPr>
          <w:rFonts w:asciiTheme="minorHAnsi" w:hAnsiTheme="minorHAnsi" w:cstheme="minorHAnsi"/>
        </w:rPr>
        <w:t>O</w:t>
      </w:r>
      <w:r w:rsidRPr="00EA0762">
        <w:rPr>
          <w:rFonts w:asciiTheme="minorHAnsi" w:hAnsiTheme="minorHAnsi" w:cstheme="minorHAnsi"/>
        </w:rPr>
        <w:t xml:space="preserve">IA grants </w:t>
      </w:r>
      <w:r w:rsidR="00F74A32">
        <w:rPr>
          <w:rFonts w:asciiTheme="minorHAnsi" w:hAnsiTheme="minorHAnsi" w:cstheme="minorHAnsi"/>
        </w:rPr>
        <w:t xml:space="preserve">if they are determined as part of </w:t>
      </w:r>
      <w:r w:rsidR="007E013E">
        <w:rPr>
          <w:rFonts w:asciiTheme="minorHAnsi" w:hAnsiTheme="minorHAnsi" w:cstheme="minorHAnsi"/>
        </w:rPr>
        <w:t xml:space="preserve">authorized </w:t>
      </w:r>
      <w:r w:rsidR="007E013E" w:rsidRPr="00EA0762">
        <w:rPr>
          <w:rFonts w:asciiTheme="minorHAnsi" w:hAnsiTheme="minorHAnsi" w:cstheme="minorHAnsi"/>
        </w:rPr>
        <w:t>WIOA</w:t>
      </w:r>
      <w:r w:rsidR="00F74A32">
        <w:rPr>
          <w:rFonts w:asciiTheme="minorHAnsi" w:hAnsiTheme="minorHAnsi" w:cstheme="minorHAnsi"/>
        </w:rPr>
        <w:t xml:space="preserve"> activities</w:t>
      </w:r>
      <w:r w:rsidRPr="00EA0762">
        <w:rPr>
          <w:rFonts w:asciiTheme="minorHAnsi" w:hAnsiTheme="minorHAnsi" w:cstheme="minorHAnsi"/>
        </w:rPr>
        <w:t xml:space="preserve"> that occur during a window that coincides with commonly accepted meal times</w:t>
      </w:r>
      <w:r w:rsidR="00F74A32">
        <w:rPr>
          <w:rFonts w:asciiTheme="minorHAnsi" w:hAnsiTheme="minorHAnsi" w:cstheme="minorHAnsi"/>
        </w:rPr>
        <w:t>. (For purposes of this policy, this means the hours of</w:t>
      </w:r>
      <w:r w:rsidRPr="00EA0762">
        <w:rPr>
          <w:rFonts w:asciiTheme="minorHAnsi" w:hAnsiTheme="minorHAnsi" w:cstheme="minorHAnsi"/>
        </w:rPr>
        <w:t xml:space="preserve"> 7:00 – 9:00am; 11:30am – 1:30 pm and 5:00 – 7:00pm. </w:t>
      </w:r>
    </w:p>
    <w:p w:rsidR="00EA0762" w:rsidRPr="00EA0762" w:rsidRDefault="00EA0762" w:rsidP="00EA0762">
      <w:pPr>
        <w:numPr>
          <w:ilvl w:val="1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Such events must include external customers and professional colleagues. </w:t>
      </w:r>
    </w:p>
    <w:p w:rsidR="00EA0762" w:rsidRPr="00EA0762" w:rsidRDefault="00EA0762" w:rsidP="00EA0762">
      <w:pPr>
        <w:numPr>
          <w:ilvl w:val="2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>External customers would normally be considered as program participants and/or employers.</w:t>
      </w:r>
    </w:p>
    <w:p w:rsidR="00EA0762" w:rsidRPr="00EA0762" w:rsidRDefault="00EA0762" w:rsidP="00EA0762">
      <w:pPr>
        <w:numPr>
          <w:ilvl w:val="2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>Professional colleagues would normally be considered individuals outside of the organizations influence but sharing common interests and goals of the organization.</w:t>
      </w:r>
    </w:p>
    <w:p w:rsidR="00EA0762" w:rsidRPr="00EA0762" w:rsidRDefault="00EA0762" w:rsidP="00EA0762">
      <w:pPr>
        <w:numPr>
          <w:ilvl w:val="1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Service providers must document the purpose of the event, the time of occurrence, justification for food and beverage to be served, and record the names of all individuals in attendance.  </w:t>
      </w:r>
    </w:p>
    <w:p w:rsidR="00EA0762" w:rsidRPr="00F74A32" w:rsidRDefault="00EA0762" w:rsidP="00F74A32">
      <w:pPr>
        <w:pStyle w:val="ListParagraph"/>
        <w:numPr>
          <w:ilvl w:val="0"/>
          <w:numId w:val="27"/>
        </w:numPr>
        <w:spacing w:line="288" w:lineRule="auto"/>
        <w:rPr>
          <w:rFonts w:asciiTheme="minorHAnsi" w:hAnsiTheme="minorHAnsi" w:cstheme="minorHAnsi"/>
        </w:rPr>
      </w:pPr>
      <w:r w:rsidRPr="00F74A32">
        <w:rPr>
          <w:rFonts w:asciiTheme="minorHAnsi" w:hAnsiTheme="minorHAnsi" w:cstheme="minorHAnsi"/>
        </w:rPr>
        <w:t xml:space="preserve">Meal and beverage costs for </w:t>
      </w:r>
      <w:r w:rsidR="00F74A32">
        <w:rPr>
          <w:rFonts w:asciiTheme="minorHAnsi" w:hAnsiTheme="minorHAnsi" w:cstheme="minorHAnsi"/>
        </w:rPr>
        <w:t xml:space="preserve">enrolled </w:t>
      </w:r>
      <w:r w:rsidRPr="00F74A32">
        <w:rPr>
          <w:rFonts w:asciiTheme="minorHAnsi" w:hAnsiTheme="minorHAnsi" w:cstheme="minorHAnsi"/>
        </w:rPr>
        <w:t xml:space="preserve">program participants should be documented in support of a service activity recorded in the participant’s Individual Service Strategy and determined as necessary by the case manager considering the individual circumstances. </w:t>
      </w:r>
      <w:r w:rsidR="00F74A32">
        <w:rPr>
          <w:rFonts w:asciiTheme="minorHAnsi" w:hAnsiTheme="minorHAnsi" w:cstheme="minorHAnsi"/>
        </w:rPr>
        <w:t xml:space="preserve"> Requirements in item 1 above do not apply for these expenses.</w:t>
      </w:r>
    </w:p>
    <w:p w:rsidR="00EA0762" w:rsidRPr="00EA0762" w:rsidRDefault="00EA0762" w:rsidP="00EA0762">
      <w:pPr>
        <w:numPr>
          <w:ilvl w:val="0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>Charging costs for meals and refreshments for meetings, events, activities or the conduct of day-to-day business of employees is not permitted.</w:t>
      </w:r>
    </w:p>
    <w:p w:rsidR="00EA0762" w:rsidRPr="00EA0762" w:rsidRDefault="00EA0762" w:rsidP="00EA0762">
      <w:pPr>
        <w:numPr>
          <w:ilvl w:val="0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Food and beverage expenses for employees in work-related travel status are permitted within allowances set by state travel regulations. </w:t>
      </w:r>
    </w:p>
    <w:p w:rsidR="00EA0762" w:rsidRPr="00EA0762" w:rsidRDefault="00EA0762" w:rsidP="00EA0762">
      <w:pPr>
        <w:numPr>
          <w:ilvl w:val="0"/>
          <w:numId w:val="27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lastRenderedPageBreak/>
        <w:t>In all cases, only actual costs (no per diem) will be paid upon submission of sufficient supporting documentation/receipts. Amounts can in no instance exceed Virginia state allowances current to the occurrence of the expense(s).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</w:p>
    <w:p w:rsidR="00EA0762" w:rsidRPr="00EA0762" w:rsidRDefault="00EA0762" w:rsidP="00EA0762">
      <w:pPr>
        <w:pStyle w:val="ListParagraph"/>
        <w:numPr>
          <w:ilvl w:val="0"/>
          <w:numId w:val="28"/>
        </w:numPr>
        <w:spacing w:line="288" w:lineRule="auto"/>
        <w:rPr>
          <w:rFonts w:asciiTheme="minorHAnsi" w:hAnsiTheme="minorHAnsi" w:cstheme="minorHAnsi"/>
          <w:b/>
          <w:u w:val="single"/>
        </w:rPr>
      </w:pPr>
      <w:r w:rsidRPr="00EA0762">
        <w:rPr>
          <w:rFonts w:asciiTheme="minorHAnsi" w:hAnsiTheme="minorHAnsi" w:cstheme="minorHAnsi"/>
          <w:b/>
          <w:u w:val="single"/>
        </w:rPr>
        <w:t>Other Items: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</w:p>
    <w:p w:rsidR="00EA0762" w:rsidRPr="00EA0762" w:rsidRDefault="00EA0762" w:rsidP="00EA0762">
      <w:pPr>
        <w:numPr>
          <w:ilvl w:val="0"/>
          <w:numId w:val="26"/>
        </w:numPr>
        <w:spacing w:line="288" w:lineRule="auto"/>
        <w:rPr>
          <w:rFonts w:asciiTheme="minorHAnsi" w:hAnsiTheme="minorHAnsi" w:cstheme="minorHAnsi"/>
        </w:rPr>
      </w:pPr>
      <w:r w:rsidRPr="00EA0762">
        <w:rPr>
          <w:rFonts w:asciiTheme="minorHAnsi" w:hAnsiTheme="minorHAnsi" w:cstheme="minorHAnsi"/>
        </w:rPr>
        <w:t xml:space="preserve">Expenses for items such as flowers and gifts cannot be charged to </w:t>
      </w:r>
      <w:r w:rsidR="002606FC">
        <w:rPr>
          <w:rFonts w:asciiTheme="minorHAnsi" w:hAnsiTheme="minorHAnsi" w:cstheme="minorHAnsi"/>
        </w:rPr>
        <w:t xml:space="preserve">Central </w:t>
      </w:r>
      <w:r w:rsidRPr="00EA0762">
        <w:rPr>
          <w:rFonts w:asciiTheme="minorHAnsi" w:hAnsiTheme="minorHAnsi" w:cstheme="minorHAnsi"/>
        </w:rPr>
        <w:t>Region WI</w:t>
      </w:r>
      <w:r w:rsidR="00C56140">
        <w:rPr>
          <w:rFonts w:asciiTheme="minorHAnsi" w:hAnsiTheme="minorHAnsi" w:cstheme="minorHAnsi"/>
        </w:rPr>
        <w:t>O</w:t>
      </w:r>
      <w:r w:rsidRPr="00EA0762">
        <w:rPr>
          <w:rFonts w:asciiTheme="minorHAnsi" w:hAnsiTheme="minorHAnsi" w:cstheme="minorHAnsi"/>
        </w:rPr>
        <w:t>A grant funds.</w:t>
      </w:r>
    </w:p>
    <w:p w:rsidR="00EA0762" w:rsidRPr="00EA0762" w:rsidRDefault="00EA0762" w:rsidP="00EA0762">
      <w:pPr>
        <w:spacing w:line="288" w:lineRule="auto"/>
        <w:rPr>
          <w:rFonts w:asciiTheme="minorHAnsi" w:hAnsiTheme="minorHAnsi" w:cstheme="minorHAnsi"/>
        </w:rPr>
      </w:pPr>
    </w:p>
    <w:p w:rsidR="009F7FCF" w:rsidRDefault="009F7FCF" w:rsidP="00AA558F">
      <w:pPr>
        <w:spacing w:line="288" w:lineRule="auto"/>
        <w:rPr>
          <w:rFonts w:asciiTheme="minorHAnsi" w:hAnsiTheme="minorHAnsi" w:cstheme="minorHAnsi"/>
        </w:rPr>
      </w:pPr>
    </w:p>
    <w:p w:rsidR="00895F84" w:rsidRDefault="00895F84" w:rsidP="00AA558F">
      <w:pPr>
        <w:spacing w:line="288" w:lineRule="auto"/>
        <w:rPr>
          <w:rFonts w:asciiTheme="minorHAnsi" w:hAnsiTheme="minorHAnsi" w:cstheme="minorHAnsi"/>
        </w:rPr>
      </w:pPr>
    </w:p>
    <w:p w:rsidR="00895F84" w:rsidRDefault="00895F84">
      <w:pPr>
        <w:spacing w:after="200" w:line="276" w:lineRule="auto"/>
        <w:rPr>
          <w:rFonts w:asciiTheme="minorHAnsi" w:hAnsiTheme="minorHAnsi" w:cstheme="minorHAnsi"/>
        </w:rPr>
      </w:pPr>
    </w:p>
    <w:sectPr w:rsidR="00895F84" w:rsidSect="00127A9F">
      <w:footerReference w:type="default" r:id="rId9"/>
      <w:headerReference w:type="first" r:id="rId10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F1" w:rsidRDefault="004D51F1" w:rsidP="004546C8">
      <w:r>
        <w:separator/>
      </w:r>
    </w:p>
  </w:endnote>
  <w:endnote w:type="continuationSeparator" w:id="0">
    <w:p w:rsidR="004D51F1" w:rsidRDefault="004D51F1" w:rsidP="0045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7595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4E1E" w:rsidRDefault="006E4E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1E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65E10" w:rsidRDefault="0096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F1" w:rsidRDefault="004D51F1" w:rsidP="004546C8">
      <w:r>
        <w:separator/>
      </w:r>
    </w:p>
  </w:footnote>
  <w:footnote w:type="continuationSeparator" w:id="0">
    <w:p w:rsidR="004D51F1" w:rsidRDefault="004D51F1" w:rsidP="0045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5E10" w:rsidRDefault="00965E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D-R-A-F-T for Public Comment</w:t>
        </w:r>
      </w:p>
    </w:sdtContent>
  </w:sdt>
  <w:p w:rsidR="00965E10" w:rsidRDefault="0096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C76"/>
    <w:multiLevelType w:val="hybridMultilevel"/>
    <w:tmpl w:val="D35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E00AD"/>
    <w:multiLevelType w:val="hybridMultilevel"/>
    <w:tmpl w:val="163ECD90"/>
    <w:lvl w:ilvl="0" w:tplc="A81EFE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783C7C"/>
    <w:multiLevelType w:val="hybridMultilevel"/>
    <w:tmpl w:val="0D62BFB4"/>
    <w:lvl w:ilvl="0" w:tplc="C1B0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219F"/>
    <w:multiLevelType w:val="hybridMultilevel"/>
    <w:tmpl w:val="C44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05B2"/>
    <w:multiLevelType w:val="hybridMultilevel"/>
    <w:tmpl w:val="381C1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BEB0D8">
      <w:start w:val="9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6C35"/>
    <w:multiLevelType w:val="hybridMultilevel"/>
    <w:tmpl w:val="E13C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D13"/>
    <w:multiLevelType w:val="hybridMultilevel"/>
    <w:tmpl w:val="EA00C8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3596C47"/>
    <w:multiLevelType w:val="hybridMultilevel"/>
    <w:tmpl w:val="3E5A8D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F35A1"/>
    <w:multiLevelType w:val="hybridMultilevel"/>
    <w:tmpl w:val="34564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440C"/>
    <w:multiLevelType w:val="hybridMultilevel"/>
    <w:tmpl w:val="DADE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DF5"/>
    <w:multiLevelType w:val="hybridMultilevel"/>
    <w:tmpl w:val="00900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50C37"/>
    <w:multiLevelType w:val="hybridMultilevel"/>
    <w:tmpl w:val="A54A8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70032"/>
    <w:multiLevelType w:val="hybridMultilevel"/>
    <w:tmpl w:val="2738D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7B67"/>
    <w:multiLevelType w:val="hybridMultilevel"/>
    <w:tmpl w:val="16144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62DC6"/>
    <w:multiLevelType w:val="hybridMultilevel"/>
    <w:tmpl w:val="7908B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1C4A"/>
    <w:multiLevelType w:val="hybridMultilevel"/>
    <w:tmpl w:val="FDE85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951"/>
    <w:multiLevelType w:val="hybridMultilevel"/>
    <w:tmpl w:val="D01C81CA"/>
    <w:lvl w:ilvl="0" w:tplc="C5BC6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6FA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8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A7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262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7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C6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1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E8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11616"/>
    <w:multiLevelType w:val="hybridMultilevel"/>
    <w:tmpl w:val="15BE9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D3731"/>
    <w:multiLevelType w:val="hybridMultilevel"/>
    <w:tmpl w:val="97FE6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55D2C"/>
    <w:multiLevelType w:val="hybridMultilevel"/>
    <w:tmpl w:val="626895D0"/>
    <w:lvl w:ilvl="0" w:tplc="647EC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5232B0"/>
    <w:multiLevelType w:val="hybridMultilevel"/>
    <w:tmpl w:val="354ADF3E"/>
    <w:lvl w:ilvl="0" w:tplc="A86475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E00C5"/>
    <w:multiLevelType w:val="hybridMultilevel"/>
    <w:tmpl w:val="3F6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B0D2B"/>
    <w:multiLevelType w:val="hybridMultilevel"/>
    <w:tmpl w:val="ACC8D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B7D82"/>
    <w:multiLevelType w:val="hybridMultilevel"/>
    <w:tmpl w:val="7380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4F12"/>
    <w:multiLevelType w:val="hybridMultilevel"/>
    <w:tmpl w:val="E47AB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3756E"/>
    <w:multiLevelType w:val="hybridMultilevel"/>
    <w:tmpl w:val="844E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1842"/>
    <w:multiLevelType w:val="hybridMultilevel"/>
    <w:tmpl w:val="A098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030"/>
    <w:multiLevelType w:val="hybridMultilevel"/>
    <w:tmpl w:val="AEF6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24"/>
  </w:num>
  <w:num w:numId="11">
    <w:abstractNumId w:val="19"/>
  </w:num>
  <w:num w:numId="12">
    <w:abstractNumId w:val="23"/>
  </w:num>
  <w:num w:numId="13">
    <w:abstractNumId w:val="8"/>
  </w:num>
  <w:num w:numId="14">
    <w:abstractNumId w:val="11"/>
  </w:num>
  <w:num w:numId="15">
    <w:abstractNumId w:val="14"/>
  </w:num>
  <w:num w:numId="16">
    <w:abstractNumId w:val="20"/>
  </w:num>
  <w:num w:numId="17">
    <w:abstractNumId w:val="3"/>
  </w:num>
  <w:num w:numId="18">
    <w:abstractNumId w:val="12"/>
  </w:num>
  <w:num w:numId="19">
    <w:abstractNumId w:val="13"/>
  </w:num>
  <w:num w:numId="20">
    <w:abstractNumId w:val="27"/>
  </w:num>
  <w:num w:numId="21">
    <w:abstractNumId w:val="9"/>
  </w:num>
  <w:num w:numId="22">
    <w:abstractNumId w:val="18"/>
  </w:num>
  <w:num w:numId="23">
    <w:abstractNumId w:val="15"/>
  </w:num>
  <w:num w:numId="24">
    <w:abstractNumId w:val="22"/>
  </w:num>
  <w:num w:numId="25">
    <w:abstractNumId w:val="4"/>
  </w:num>
  <w:num w:numId="26">
    <w:abstractNumId w:val="21"/>
  </w:num>
  <w:num w:numId="27">
    <w:abstractNumId w:val="26"/>
  </w:num>
  <w:num w:numId="28">
    <w:abstractNumId w:val="17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CE"/>
    <w:rsid w:val="00054908"/>
    <w:rsid w:val="00055E2A"/>
    <w:rsid w:val="000724FD"/>
    <w:rsid w:val="000D41E2"/>
    <w:rsid w:val="000F4635"/>
    <w:rsid w:val="000F547B"/>
    <w:rsid w:val="00115588"/>
    <w:rsid w:val="00117DD8"/>
    <w:rsid w:val="00127A9F"/>
    <w:rsid w:val="001365CA"/>
    <w:rsid w:val="0014139C"/>
    <w:rsid w:val="001461D2"/>
    <w:rsid w:val="00193AE4"/>
    <w:rsid w:val="001B0AA2"/>
    <w:rsid w:val="001C0A6C"/>
    <w:rsid w:val="00216DC5"/>
    <w:rsid w:val="002606FC"/>
    <w:rsid w:val="00261710"/>
    <w:rsid w:val="002731FA"/>
    <w:rsid w:val="00277E94"/>
    <w:rsid w:val="002C0279"/>
    <w:rsid w:val="002F53DA"/>
    <w:rsid w:val="00333320"/>
    <w:rsid w:val="003453DC"/>
    <w:rsid w:val="003740BB"/>
    <w:rsid w:val="003853F4"/>
    <w:rsid w:val="003A4FA5"/>
    <w:rsid w:val="003D4981"/>
    <w:rsid w:val="004176AE"/>
    <w:rsid w:val="0043747B"/>
    <w:rsid w:val="004474AB"/>
    <w:rsid w:val="004546C8"/>
    <w:rsid w:val="0049093A"/>
    <w:rsid w:val="004B3482"/>
    <w:rsid w:val="004D51F1"/>
    <w:rsid w:val="00512524"/>
    <w:rsid w:val="00514834"/>
    <w:rsid w:val="0052545C"/>
    <w:rsid w:val="00530B21"/>
    <w:rsid w:val="00573E92"/>
    <w:rsid w:val="00587C87"/>
    <w:rsid w:val="00597764"/>
    <w:rsid w:val="005977D8"/>
    <w:rsid w:val="005C126F"/>
    <w:rsid w:val="005E2B90"/>
    <w:rsid w:val="00602DAA"/>
    <w:rsid w:val="00652C9B"/>
    <w:rsid w:val="006E4E1E"/>
    <w:rsid w:val="006E53CE"/>
    <w:rsid w:val="00711125"/>
    <w:rsid w:val="00716916"/>
    <w:rsid w:val="00761D16"/>
    <w:rsid w:val="0076433A"/>
    <w:rsid w:val="007E013E"/>
    <w:rsid w:val="00814E4E"/>
    <w:rsid w:val="0082288A"/>
    <w:rsid w:val="00866A72"/>
    <w:rsid w:val="00867DAB"/>
    <w:rsid w:val="00880FF5"/>
    <w:rsid w:val="0088529F"/>
    <w:rsid w:val="00895F84"/>
    <w:rsid w:val="00896A25"/>
    <w:rsid w:val="008A2D96"/>
    <w:rsid w:val="008D1555"/>
    <w:rsid w:val="00901C08"/>
    <w:rsid w:val="00933B3E"/>
    <w:rsid w:val="0093471E"/>
    <w:rsid w:val="009460DD"/>
    <w:rsid w:val="00947037"/>
    <w:rsid w:val="00947184"/>
    <w:rsid w:val="00965E10"/>
    <w:rsid w:val="0097699A"/>
    <w:rsid w:val="009F044F"/>
    <w:rsid w:val="009F7FCF"/>
    <w:rsid w:val="00A349D4"/>
    <w:rsid w:val="00A556B9"/>
    <w:rsid w:val="00A7102E"/>
    <w:rsid w:val="00A87370"/>
    <w:rsid w:val="00AA558F"/>
    <w:rsid w:val="00AA678D"/>
    <w:rsid w:val="00AE0DA0"/>
    <w:rsid w:val="00AE7C20"/>
    <w:rsid w:val="00B33699"/>
    <w:rsid w:val="00B62FA9"/>
    <w:rsid w:val="00B71DB7"/>
    <w:rsid w:val="00B83B7A"/>
    <w:rsid w:val="00B91F84"/>
    <w:rsid w:val="00BA0A2F"/>
    <w:rsid w:val="00BA1337"/>
    <w:rsid w:val="00BC52D0"/>
    <w:rsid w:val="00C07444"/>
    <w:rsid w:val="00C20D3C"/>
    <w:rsid w:val="00C371D5"/>
    <w:rsid w:val="00C434B1"/>
    <w:rsid w:val="00C56140"/>
    <w:rsid w:val="00C63773"/>
    <w:rsid w:val="00C72800"/>
    <w:rsid w:val="00C81BC0"/>
    <w:rsid w:val="00CA31ED"/>
    <w:rsid w:val="00CE5CAA"/>
    <w:rsid w:val="00CF0BB2"/>
    <w:rsid w:val="00D36C24"/>
    <w:rsid w:val="00D638FD"/>
    <w:rsid w:val="00D875E7"/>
    <w:rsid w:val="00DD2162"/>
    <w:rsid w:val="00DD537C"/>
    <w:rsid w:val="00E0619A"/>
    <w:rsid w:val="00E22E8F"/>
    <w:rsid w:val="00E954DC"/>
    <w:rsid w:val="00EA0762"/>
    <w:rsid w:val="00EB36F1"/>
    <w:rsid w:val="00EF4A8B"/>
    <w:rsid w:val="00EF7105"/>
    <w:rsid w:val="00F144FB"/>
    <w:rsid w:val="00F35F9F"/>
    <w:rsid w:val="00F73BF0"/>
    <w:rsid w:val="00F74A32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0CF5"/>
  <w15:docId w15:val="{EC19502D-DD5D-4806-B7B4-763FFBE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CE"/>
    <w:pPr>
      <w:ind w:left="720"/>
    </w:pPr>
  </w:style>
  <w:style w:type="character" w:styleId="Hyperlink">
    <w:name w:val="Hyperlink"/>
    <w:basedOn w:val="DefaultParagraphFont"/>
    <w:uiPriority w:val="99"/>
    <w:unhideWhenUsed/>
    <w:rsid w:val="006E5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A400-590B-43F3-AF30-0EAF8B08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D-R-A-F-T for Public Comment</vt:lpstr>
    </vt:vector>
  </TitlesOfParts>
  <Company>Fairfax County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D-R-A-F-T for Public Comment</dc:title>
  <dc:creator>Carr, Kimberly</dc:creator>
  <cp:lastModifiedBy>Hannah Marshall</cp:lastModifiedBy>
  <cp:revision>2</cp:revision>
  <cp:lastPrinted>2012-07-24T16:32:00Z</cp:lastPrinted>
  <dcterms:created xsi:type="dcterms:W3CDTF">2018-07-11T16:46:00Z</dcterms:created>
  <dcterms:modified xsi:type="dcterms:W3CDTF">2018-07-11T16:46:00Z</dcterms:modified>
</cp:coreProperties>
</file>