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95A3" w14:textId="0DD8F107" w:rsidR="000F4635" w:rsidRDefault="00895340" w:rsidP="00AA558F">
      <w:pPr>
        <w:spacing w:line="288" w:lineRule="auto"/>
        <w:jc w:val="center"/>
        <w:rPr>
          <w:rFonts w:asciiTheme="minorHAnsi" w:hAnsiTheme="minorHAnsi" w:cstheme="minorHAnsi"/>
          <w:b/>
        </w:rPr>
      </w:pPr>
      <w:bookmarkStart w:id="0" w:name="_GoBack"/>
      <w:bookmarkEnd w:id="0"/>
      <w:r>
        <w:rPr>
          <w:noProof/>
        </w:rPr>
        <w:drawing>
          <wp:inline distT="0" distB="0" distL="0" distR="0" wp14:anchorId="0B677AC3" wp14:editId="3184783E">
            <wp:extent cx="1807141" cy="740726"/>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507" cy="790882"/>
                    </a:xfrm>
                    <a:prstGeom prst="rect">
                      <a:avLst/>
                    </a:prstGeom>
                    <a:noFill/>
                    <a:ln>
                      <a:noFill/>
                    </a:ln>
                  </pic:spPr>
                </pic:pic>
              </a:graphicData>
            </a:graphic>
          </wp:inline>
        </w:drawing>
      </w:r>
    </w:p>
    <w:p w14:paraId="4B758DD1" w14:textId="77777777" w:rsidR="00322AA7" w:rsidRPr="000D41E2" w:rsidRDefault="00322AA7" w:rsidP="00AA558F">
      <w:pPr>
        <w:spacing w:line="288" w:lineRule="auto"/>
        <w:jc w:val="center"/>
        <w:rPr>
          <w:rFonts w:asciiTheme="minorHAnsi" w:hAnsiTheme="minorHAnsi" w:cstheme="minorHAnsi"/>
          <w:b/>
        </w:rPr>
      </w:pPr>
    </w:p>
    <w:p w14:paraId="77CE7193" w14:textId="7BC106BC" w:rsidR="00277E94" w:rsidRPr="000D41E2" w:rsidRDefault="008824EF" w:rsidP="00AA558F">
      <w:pPr>
        <w:pBdr>
          <w:top w:val="single" w:sz="4" w:space="1" w:color="auto"/>
          <w:left w:val="single" w:sz="4" w:space="4" w:color="auto"/>
          <w:bottom w:val="single" w:sz="4" w:space="1" w:color="auto"/>
          <w:right w:val="single" w:sz="4" w:space="4" w:color="auto"/>
        </w:pBdr>
        <w:spacing w:line="288" w:lineRule="auto"/>
        <w:jc w:val="center"/>
        <w:rPr>
          <w:rFonts w:asciiTheme="minorHAnsi" w:hAnsiTheme="minorHAnsi" w:cstheme="minorHAnsi"/>
          <w:b/>
        </w:rPr>
      </w:pPr>
      <w:r>
        <w:rPr>
          <w:rFonts w:asciiTheme="minorHAnsi" w:hAnsiTheme="minorHAnsi" w:cstheme="minorHAnsi"/>
          <w:b/>
        </w:rPr>
        <w:t xml:space="preserve">Workforce Innovation and Opportunity Act </w:t>
      </w:r>
      <w:r w:rsidR="008B15CE">
        <w:rPr>
          <w:rFonts w:asciiTheme="minorHAnsi" w:hAnsiTheme="minorHAnsi" w:cstheme="minorHAnsi"/>
          <w:b/>
        </w:rPr>
        <w:t>Program</w:t>
      </w:r>
      <w:r w:rsidR="00055E2A" w:rsidRPr="000D41E2">
        <w:rPr>
          <w:rFonts w:asciiTheme="minorHAnsi" w:hAnsiTheme="minorHAnsi" w:cstheme="minorHAnsi"/>
          <w:b/>
        </w:rPr>
        <w:t xml:space="preserve"> </w:t>
      </w:r>
      <w:r w:rsidR="00CF0BB2" w:rsidRPr="000D41E2">
        <w:rPr>
          <w:rFonts w:asciiTheme="minorHAnsi" w:hAnsiTheme="minorHAnsi" w:cstheme="minorHAnsi"/>
          <w:b/>
        </w:rPr>
        <w:t xml:space="preserve">Policy </w:t>
      </w:r>
      <w:r w:rsidR="00055E2A" w:rsidRPr="000D41E2">
        <w:rPr>
          <w:rFonts w:asciiTheme="minorHAnsi" w:hAnsiTheme="minorHAnsi" w:cstheme="minorHAnsi"/>
          <w:b/>
        </w:rPr>
        <w:t>#</w:t>
      </w:r>
      <w:r w:rsidR="00993621">
        <w:rPr>
          <w:rFonts w:asciiTheme="minorHAnsi" w:hAnsiTheme="minorHAnsi" w:cstheme="minorHAnsi"/>
          <w:b/>
        </w:rPr>
        <w:t>1</w:t>
      </w:r>
      <w:r w:rsidR="00922BAD">
        <w:rPr>
          <w:rFonts w:asciiTheme="minorHAnsi" w:hAnsiTheme="minorHAnsi" w:cstheme="minorHAnsi"/>
          <w:b/>
        </w:rPr>
        <w:t>03</w:t>
      </w:r>
    </w:p>
    <w:p w14:paraId="45E80EC3" w14:textId="77777777" w:rsidR="00CF0BB2" w:rsidRPr="000D41E2" w:rsidRDefault="00CF0BB2" w:rsidP="00AA558F">
      <w:pPr>
        <w:spacing w:line="288" w:lineRule="auto"/>
        <w:jc w:val="center"/>
        <w:rPr>
          <w:rFonts w:asciiTheme="minorHAnsi" w:hAnsiTheme="minorHAnsi" w:cstheme="minorHAnsi"/>
          <w:b/>
        </w:rPr>
      </w:pPr>
    </w:p>
    <w:p w14:paraId="728B1A24" w14:textId="41560A39" w:rsidR="00CF0BB2" w:rsidRPr="000D41E2" w:rsidRDefault="00CF0BB2" w:rsidP="00AA558F">
      <w:pPr>
        <w:spacing w:line="288" w:lineRule="auto"/>
        <w:rPr>
          <w:rFonts w:asciiTheme="minorHAnsi" w:hAnsiTheme="minorHAnsi" w:cstheme="minorHAnsi"/>
          <w:b/>
        </w:rPr>
      </w:pPr>
      <w:r w:rsidRPr="000D41E2">
        <w:rPr>
          <w:rFonts w:asciiTheme="minorHAnsi" w:hAnsiTheme="minorHAnsi" w:cstheme="minorHAnsi"/>
          <w:b/>
        </w:rPr>
        <w:t xml:space="preserve">Subject: </w:t>
      </w:r>
      <w:r w:rsidRPr="000D41E2">
        <w:rPr>
          <w:rFonts w:asciiTheme="minorHAnsi" w:hAnsiTheme="minorHAnsi" w:cstheme="minorHAnsi"/>
          <w:b/>
        </w:rPr>
        <w:tab/>
      </w:r>
      <w:r w:rsidR="00514834" w:rsidRPr="000D41E2">
        <w:rPr>
          <w:rFonts w:asciiTheme="minorHAnsi" w:hAnsiTheme="minorHAnsi" w:cstheme="minorHAnsi"/>
          <w:b/>
        </w:rPr>
        <w:tab/>
      </w:r>
      <w:r w:rsidR="00A05816">
        <w:rPr>
          <w:rFonts w:asciiTheme="minorHAnsi" w:hAnsiTheme="minorHAnsi" w:cstheme="minorHAnsi"/>
          <w:b/>
        </w:rPr>
        <w:t xml:space="preserve">Low Income and </w:t>
      </w:r>
      <w:r w:rsidR="007C45DE">
        <w:rPr>
          <w:rFonts w:asciiTheme="minorHAnsi" w:hAnsiTheme="minorHAnsi" w:cstheme="minorHAnsi"/>
          <w:b/>
        </w:rPr>
        <w:t>Self-Sufficiency</w:t>
      </w:r>
    </w:p>
    <w:p w14:paraId="5D76C5F8" w14:textId="77777777" w:rsidR="00CF0BB2" w:rsidRPr="000D41E2" w:rsidRDefault="00CF0BB2" w:rsidP="00AA558F">
      <w:pPr>
        <w:spacing w:line="288" w:lineRule="auto"/>
        <w:rPr>
          <w:rFonts w:asciiTheme="minorHAnsi" w:hAnsiTheme="minorHAnsi" w:cstheme="minorHAnsi"/>
          <w:b/>
        </w:rPr>
      </w:pPr>
    </w:p>
    <w:p w14:paraId="42E03DA0" w14:textId="77777777" w:rsidR="00B45E93" w:rsidRDefault="00514834" w:rsidP="00AA558F">
      <w:pPr>
        <w:spacing w:line="288" w:lineRule="auto"/>
        <w:rPr>
          <w:rFonts w:asciiTheme="minorHAnsi" w:hAnsiTheme="minorHAnsi" w:cstheme="minorHAnsi"/>
          <w:b/>
        </w:rPr>
      </w:pPr>
      <w:r w:rsidRPr="000D41E2">
        <w:rPr>
          <w:rFonts w:asciiTheme="minorHAnsi" w:hAnsiTheme="minorHAnsi" w:cstheme="minorHAnsi"/>
          <w:b/>
        </w:rPr>
        <w:t xml:space="preserve">Effective </w:t>
      </w:r>
      <w:r w:rsidR="00CF0BB2" w:rsidRPr="000D41E2">
        <w:rPr>
          <w:rFonts w:asciiTheme="minorHAnsi" w:hAnsiTheme="minorHAnsi" w:cstheme="minorHAnsi"/>
          <w:b/>
        </w:rPr>
        <w:t xml:space="preserve">Date: </w:t>
      </w:r>
      <w:r w:rsidR="00CF0BB2" w:rsidRPr="000D41E2">
        <w:rPr>
          <w:rFonts w:asciiTheme="minorHAnsi" w:hAnsiTheme="minorHAnsi" w:cstheme="minorHAnsi"/>
          <w:b/>
        </w:rPr>
        <w:tab/>
      </w:r>
      <w:r w:rsidR="00B45E93">
        <w:rPr>
          <w:rFonts w:asciiTheme="minorHAnsi" w:hAnsiTheme="minorHAnsi" w:cstheme="minorHAnsi"/>
          <w:b/>
        </w:rPr>
        <w:tab/>
        <w:t>November 14, 2012</w:t>
      </w:r>
    </w:p>
    <w:p w14:paraId="7F1D6276" w14:textId="77777777" w:rsidR="00B45E93" w:rsidRDefault="00B45E93" w:rsidP="00AA558F">
      <w:pPr>
        <w:spacing w:line="288" w:lineRule="auto"/>
        <w:rPr>
          <w:rFonts w:asciiTheme="minorHAnsi" w:hAnsiTheme="minorHAnsi" w:cstheme="minorHAnsi"/>
          <w:b/>
        </w:rPr>
      </w:pPr>
    </w:p>
    <w:p w14:paraId="1EFD1BE9" w14:textId="77777777" w:rsidR="00B45E93" w:rsidRDefault="00B45E93" w:rsidP="00AA558F">
      <w:pPr>
        <w:spacing w:line="288" w:lineRule="auto"/>
        <w:rPr>
          <w:rFonts w:asciiTheme="minorHAnsi" w:hAnsiTheme="minorHAnsi" w:cstheme="minorHAnsi"/>
          <w:b/>
        </w:rPr>
      </w:pPr>
      <w:r>
        <w:rPr>
          <w:rFonts w:asciiTheme="minorHAnsi" w:hAnsiTheme="minorHAnsi" w:cstheme="minorHAnsi"/>
          <w:b/>
        </w:rPr>
        <w:t>Revised:</w:t>
      </w:r>
      <w:r>
        <w:rPr>
          <w:rFonts w:asciiTheme="minorHAnsi" w:hAnsiTheme="minorHAnsi" w:cstheme="minorHAnsi"/>
          <w:b/>
        </w:rPr>
        <w:tab/>
      </w:r>
      <w:r>
        <w:rPr>
          <w:rFonts w:asciiTheme="minorHAnsi" w:hAnsiTheme="minorHAnsi" w:cstheme="minorHAnsi"/>
          <w:b/>
        </w:rPr>
        <w:tab/>
        <w:t>January 10, 2018</w:t>
      </w:r>
    </w:p>
    <w:p w14:paraId="672705A4" w14:textId="77777777" w:rsidR="00B45E93" w:rsidRDefault="00B45E93" w:rsidP="00AA558F">
      <w:pPr>
        <w:spacing w:line="288" w:lineRule="auto"/>
        <w:rPr>
          <w:rFonts w:asciiTheme="minorHAnsi" w:hAnsiTheme="minorHAnsi" w:cstheme="minorHAnsi"/>
          <w:b/>
        </w:rPr>
      </w:pPr>
    </w:p>
    <w:p w14:paraId="3095B4B4" w14:textId="5F105F89" w:rsidR="00CF0BB2" w:rsidRPr="000D41E2" w:rsidRDefault="00B45E93" w:rsidP="00AA558F">
      <w:pPr>
        <w:spacing w:line="288" w:lineRule="auto"/>
        <w:rPr>
          <w:rFonts w:asciiTheme="minorHAnsi" w:hAnsiTheme="minorHAnsi" w:cstheme="minorHAnsi"/>
          <w:b/>
        </w:rPr>
      </w:pPr>
      <w:r>
        <w:rPr>
          <w:rFonts w:asciiTheme="minorHAnsi" w:hAnsiTheme="minorHAnsi" w:cstheme="minorHAnsi"/>
          <w:b/>
        </w:rPr>
        <w:t>References:</w:t>
      </w:r>
      <w:r>
        <w:rPr>
          <w:rFonts w:asciiTheme="minorHAnsi" w:hAnsiTheme="minorHAnsi" w:cstheme="minorHAnsi"/>
          <w:b/>
        </w:rPr>
        <w:tab/>
      </w:r>
      <w:r>
        <w:rPr>
          <w:rFonts w:asciiTheme="minorHAnsi" w:hAnsiTheme="minorHAnsi" w:cstheme="minorHAnsi"/>
          <w:b/>
        </w:rPr>
        <w:tab/>
        <w:t xml:space="preserve">VWL #17-01 </w:t>
      </w:r>
      <w:r w:rsidR="00CF0BB2" w:rsidRPr="000D41E2">
        <w:rPr>
          <w:rFonts w:asciiTheme="minorHAnsi" w:hAnsiTheme="minorHAnsi" w:cstheme="minorHAnsi"/>
          <w:b/>
        </w:rPr>
        <w:tab/>
      </w:r>
    </w:p>
    <w:p w14:paraId="7A422FA9" w14:textId="77777777" w:rsidR="003A4FA5" w:rsidRPr="000D41E2" w:rsidRDefault="003A4FA5" w:rsidP="00AA558F">
      <w:pPr>
        <w:spacing w:line="288" w:lineRule="auto"/>
        <w:rPr>
          <w:rFonts w:asciiTheme="minorHAnsi" w:hAnsiTheme="minorHAnsi" w:cstheme="minorHAnsi"/>
          <w:b/>
        </w:rPr>
      </w:pPr>
    </w:p>
    <w:p w14:paraId="073B14AE" w14:textId="77777777" w:rsidR="00B1077D" w:rsidRPr="009B67D4" w:rsidRDefault="006836FD" w:rsidP="009305D5">
      <w:pPr>
        <w:spacing w:line="288" w:lineRule="auto"/>
        <w:rPr>
          <w:rFonts w:asciiTheme="minorHAnsi" w:hAnsiTheme="minorHAnsi" w:cstheme="minorHAnsi"/>
          <w:b/>
        </w:rPr>
      </w:pPr>
      <w:r w:rsidRPr="009B67D4">
        <w:rPr>
          <w:rFonts w:asciiTheme="minorHAnsi" w:hAnsiTheme="minorHAnsi" w:cstheme="minorHAnsi"/>
          <w:b/>
        </w:rPr>
        <w:t>Policy Statement:</w:t>
      </w:r>
    </w:p>
    <w:p w14:paraId="52D7A180" w14:textId="6A229EB5" w:rsidR="00DF333E" w:rsidRPr="009B67D4" w:rsidRDefault="006836FD" w:rsidP="009305D5">
      <w:pPr>
        <w:spacing w:line="288" w:lineRule="auto"/>
        <w:rPr>
          <w:rFonts w:asciiTheme="minorHAnsi" w:hAnsiTheme="minorHAnsi" w:cstheme="minorHAnsi"/>
          <w:color w:val="000000"/>
        </w:rPr>
      </w:pPr>
      <w:r w:rsidRPr="009B67D4">
        <w:rPr>
          <w:rFonts w:asciiTheme="minorHAnsi" w:hAnsiTheme="minorHAnsi" w:cstheme="minorHAnsi"/>
          <w:b/>
        </w:rPr>
        <w:tab/>
      </w:r>
    </w:p>
    <w:p w14:paraId="4D56A0FE" w14:textId="23283AA1" w:rsidR="00B45E93" w:rsidRPr="00B2442D" w:rsidRDefault="00B45E93" w:rsidP="00B45E93">
      <w:pPr>
        <w:pStyle w:val="ListParagraph"/>
        <w:widowControl w:val="0"/>
        <w:numPr>
          <w:ilvl w:val="0"/>
          <w:numId w:val="24"/>
        </w:numPr>
        <w:tabs>
          <w:tab w:val="left" w:pos="1066"/>
        </w:tabs>
        <w:autoSpaceDE w:val="0"/>
        <w:autoSpaceDN w:val="0"/>
        <w:spacing w:line="295" w:lineRule="auto"/>
        <w:ind w:right="701"/>
        <w:jc w:val="both"/>
        <w:rPr>
          <w:rFonts w:asciiTheme="minorHAnsi" w:hAnsiTheme="minorHAnsi" w:cstheme="minorHAnsi"/>
        </w:rPr>
      </w:pPr>
      <w:r w:rsidRPr="00B2442D">
        <w:rPr>
          <w:rFonts w:asciiTheme="minorHAnsi" w:hAnsiTheme="minorHAnsi" w:cstheme="minorHAnsi"/>
          <w:color w:val="070707"/>
          <w:w w:val="105"/>
        </w:rPr>
        <w:t>To provide the current Poverty Guidelines and the 70</w:t>
      </w:r>
      <w:r w:rsidRPr="00B2442D">
        <w:rPr>
          <w:rFonts w:asciiTheme="minorHAnsi" w:hAnsiTheme="minorHAnsi" w:cstheme="minorHAnsi"/>
          <w:color w:val="2A2A2A"/>
          <w:w w:val="105"/>
        </w:rPr>
        <w:t xml:space="preserve">% </w:t>
      </w:r>
      <w:r w:rsidRPr="00B2442D">
        <w:rPr>
          <w:rFonts w:asciiTheme="minorHAnsi" w:hAnsiTheme="minorHAnsi" w:cstheme="minorHAnsi"/>
          <w:color w:val="070707"/>
          <w:w w:val="105"/>
        </w:rPr>
        <w:t>Lower Living Standard Income Levels (LLSIL)</w:t>
      </w:r>
      <w:r w:rsidR="00330872" w:rsidRPr="00B2442D">
        <w:rPr>
          <w:rFonts w:asciiTheme="minorHAnsi" w:hAnsiTheme="minorHAnsi" w:cstheme="minorHAnsi"/>
          <w:color w:val="070707"/>
          <w:w w:val="105"/>
        </w:rPr>
        <w:t xml:space="preserve"> in </w:t>
      </w:r>
      <w:r w:rsidR="00895340">
        <w:rPr>
          <w:rFonts w:asciiTheme="minorHAnsi" w:hAnsiTheme="minorHAnsi" w:cstheme="minorHAnsi"/>
          <w:color w:val="070707"/>
          <w:w w:val="105"/>
        </w:rPr>
        <w:t xml:space="preserve">Central </w:t>
      </w:r>
      <w:r w:rsidR="00330872" w:rsidRPr="00B2442D">
        <w:rPr>
          <w:rFonts w:asciiTheme="minorHAnsi" w:hAnsiTheme="minorHAnsi" w:cstheme="minorHAnsi"/>
          <w:color w:val="070707"/>
          <w:w w:val="105"/>
        </w:rPr>
        <w:t>Region, Area VII, used</w:t>
      </w:r>
      <w:r w:rsidRPr="00B2442D">
        <w:rPr>
          <w:rFonts w:asciiTheme="minorHAnsi" w:hAnsiTheme="minorHAnsi" w:cstheme="minorHAnsi"/>
          <w:color w:val="070707"/>
          <w:w w:val="105"/>
        </w:rPr>
        <w:t xml:space="preserve"> in determining an individual as low-income under the Workforce Innovation and Opportunity Act</w:t>
      </w:r>
      <w:r w:rsidRPr="00B2442D">
        <w:rPr>
          <w:rFonts w:asciiTheme="minorHAnsi" w:hAnsiTheme="minorHAnsi" w:cstheme="minorHAnsi"/>
          <w:color w:val="070707"/>
          <w:spacing w:val="-5"/>
          <w:w w:val="105"/>
        </w:rPr>
        <w:t xml:space="preserve"> </w:t>
      </w:r>
      <w:r w:rsidRPr="00B2442D">
        <w:rPr>
          <w:rFonts w:asciiTheme="minorHAnsi" w:hAnsiTheme="minorHAnsi" w:cstheme="minorHAnsi"/>
          <w:color w:val="070707"/>
          <w:w w:val="105"/>
        </w:rPr>
        <w:t>(WIOA).</w:t>
      </w:r>
    </w:p>
    <w:p w14:paraId="0F6B1102" w14:textId="77777777" w:rsidR="00B45E93" w:rsidRPr="00B2442D" w:rsidRDefault="00B45E93" w:rsidP="00B45E93">
      <w:pPr>
        <w:pStyle w:val="BodyText"/>
        <w:spacing w:before="10"/>
        <w:rPr>
          <w:rFonts w:asciiTheme="minorHAnsi" w:hAnsiTheme="minorHAnsi" w:cstheme="minorHAnsi"/>
          <w:sz w:val="22"/>
          <w:szCs w:val="22"/>
        </w:rPr>
      </w:pPr>
    </w:p>
    <w:p w14:paraId="19784050" w14:textId="595DED4E" w:rsidR="00B45E93" w:rsidRPr="00B2442D" w:rsidRDefault="00B45E93" w:rsidP="00B45E93">
      <w:pPr>
        <w:pStyle w:val="ListParagraph"/>
        <w:widowControl w:val="0"/>
        <w:numPr>
          <w:ilvl w:val="0"/>
          <w:numId w:val="24"/>
        </w:numPr>
        <w:tabs>
          <w:tab w:val="left" w:pos="1061"/>
        </w:tabs>
        <w:autoSpaceDE w:val="0"/>
        <w:autoSpaceDN w:val="0"/>
        <w:spacing w:before="1" w:line="297" w:lineRule="auto"/>
        <w:ind w:right="889" w:hanging="350"/>
        <w:rPr>
          <w:rFonts w:asciiTheme="minorHAnsi" w:hAnsiTheme="minorHAnsi" w:cstheme="minorHAnsi"/>
        </w:rPr>
      </w:pPr>
      <w:r w:rsidRPr="00B2442D">
        <w:rPr>
          <w:rFonts w:asciiTheme="minorHAnsi" w:hAnsiTheme="minorHAnsi" w:cstheme="minorHAnsi"/>
          <w:color w:val="070707"/>
          <w:w w:val="105"/>
        </w:rPr>
        <w:t xml:space="preserve">To provide guidelines regarding the use of the current 100% Lower Living Standard Income Levels </w:t>
      </w:r>
      <w:r w:rsidR="00330872" w:rsidRPr="00B2442D">
        <w:rPr>
          <w:rFonts w:asciiTheme="minorHAnsi" w:hAnsiTheme="minorHAnsi" w:cstheme="minorHAnsi"/>
          <w:color w:val="070707"/>
          <w:w w:val="105"/>
        </w:rPr>
        <w:t xml:space="preserve">in </w:t>
      </w:r>
      <w:r w:rsidR="00895340">
        <w:rPr>
          <w:rFonts w:asciiTheme="minorHAnsi" w:hAnsiTheme="minorHAnsi" w:cstheme="minorHAnsi"/>
          <w:color w:val="070707"/>
          <w:w w:val="105"/>
        </w:rPr>
        <w:t xml:space="preserve">Central </w:t>
      </w:r>
      <w:r w:rsidR="00330872" w:rsidRPr="00B2442D">
        <w:rPr>
          <w:rFonts w:asciiTheme="minorHAnsi" w:hAnsiTheme="minorHAnsi" w:cstheme="minorHAnsi"/>
          <w:color w:val="070707"/>
          <w:w w:val="105"/>
        </w:rPr>
        <w:t xml:space="preserve">Region, Area Vii, </w:t>
      </w:r>
      <w:r w:rsidRPr="00B2442D">
        <w:rPr>
          <w:rFonts w:asciiTheme="minorHAnsi" w:hAnsiTheme="minorHAnsi" w:cstheme="minorHAnsi"/>
          <w:color w:val="070707"/>
          <w:w w:val="105"/>
        </w:rPr>
        <w:t xml:space="preserve">as a minimum when setting the Local Workforce Development Area's standard of economic self </w:t>
      </w:r>
      <w:r w:rsidRPr="00B2442D">
        <w:rPr>
          <w:rFonts w:asciiTheme="minorHAnsi" w:hAnsiTheme="minorHAnsi" w:cstheme="minorHAnsi"/>
          <w:color w:val="2A2A2A"/>
          <w:w w:val="105"/>
        </w:rPr>
        <w:t>-</w:t>
      </w:r>
      <w:r w:rsidRPr="00B2442D">
        <w:rPr>
          <w:rFonts w:asciiTheme="minorHAnsi" w:hAnsiTheme="minorHAnsi" w:cstheme="minorHAnsi"/>
          <w:color w:val="070707"/>
          <w:w w:val="105"/>
        </w:rPr>
        <w:t>sufficiency for training and</w:t>
      </w:r>
      <w:r w:rsidRPr="00B2442D">
        <w:rPr>
          <w:rFonts w:asciiTheme="minorHAnsi" w:hAnsiTheme="minorHAnsi" w:cstheme="minorHAnsi"/>
          <w:color w:val="070707"/>
          <w:spacing w:val="-40"/>
          <w:w w:val="105"/>
        </w:rPr>
        <w:t xml:space="preserve"> </w:t>
      </w:r>
      <w:r w:rsidRPr="00B2442D">
        <w:rPr>
          <w:rFonts w:asciiTheme="minorHAnsi" w:hAnsiTheme="minorHAnsi" w:cstheme="minorHAnsi"/>
          <w:color w:val="070707"/>
          <w:w w:val="105"/>
        </w:rPr>
        <w:t>employment purposes.</w:t>
      </w:r>
    </w:p>
    <w:p w14:paraId="582B512B" w14:textId="0365B9BB" w:rsidR="009305D5" w:rsidRPr="009B67D4" w:rsidRDefault="009305D5" w:rsidP="009305D5">
      <w:pPr>
        <w:spacing w:line="288" w:lineRule="auto"/>
        <w:rPr>
          <w:rFonts w:asciiTheme="minorHAnsi" w:hAnsiTheme="minorHAnsi" w:cstheme="minorHAnsi"/>
        </w:rPr>
      </w:pPr>
    </w:p>
    <w:p w14:paraId="2DE58C59" w14:textId="70930017" w:rsidR="00327995" w:rsidRPr="009B67D4" w:rsidRDefault="00330872" w:rsidP="00511A5F">
      <w:pPr>
        <w:spacing w:line="288" w:lineRule="auto"/>
        <w:rPr>
          <w:rFonts w:asciiTheme="minorHAnsi" w:hAnsiTheme="minorHAnsi" w:cstheme="minorHAnsi"/>
          <w:b/>
        </w:rPr>
      </w:pPr>
      <w:r w:rsidRPr="009B67D4">
        <w:rPr>
          <w:rFonts w:asciiTheme="minorHAnsi" w:hAnsiTheme="minorHAnsi" w:cstheme="minorHAnsi"/>
          <w:b/>
        </w:rPr>
        <w:t>Definitions:</w:t>
      </w:r>
    </w:p>
    <w:p w14:paraId="31DDC78C" w14:textId="5A45F8D7" w:rsidR="00511A5F" w:rsidRPr="009B67D4" w:rsidRDefault="00511A5F" w:rsidP="00511A5F">
      <w:pPr>
        <w:spacing w:line="288" w:lineRule="auto"/>
        <w:rPr>
          <w:rFonts w:asciiTheme="minorHAnsi" w:hAnsiTheme="minorHAnsi" w:cstheme="minorHAnsi"/>
        </w:rPr>
      </w:pPr>
      <w:r w:rsidRPr="009B67D4">
        <w:rPr>
          <w:rFonts w:asciiTheme="minorHAnsi" w:hAnsiTheme="minorHAnsi" w:cstheme="minorHAnsi"/>
        </w:rPr>
        <w:t xml:space="preserve">Under the Workforce Innovation and Opportunity Act (WIOA):  </w:t>
      </w:r>
    </w:p>
    <w:p w14:paraId="204DDB65" w14:textId="77777777" w:rsidR="00511A5F" w:rsidRPr="009B67D4" w:rsidRDefault="00511A5F" w:rsidP="00511A5F">
      <w:pPr>
        <w:spacing w:line="288" w:lineRule="auto"/>
        <w:rPr>
          <w:rFonts w:asciiTheme="minorHAnsi" w:hAnsiTheme="minorHAnsi" w:cstheme="minorHAnsi"/>
        </w:rPr>
      </w:pPr>
    </w:p>
    <w:p w14:paraId="243D08FF" w14:textId="77777777" w:rsidR="00511A5F" w:rsidRPr="009B67D4" w:rsidRDefault="00511A5F" w:rsidP="00511A5F">
      <w:pPr>
        <w:spacing w:line="288" w:lineRule="auto"/>
        <w:rPr>
          <w:rFonts w:asciiTheme="minorHAnsi" w:hAnsiTheme="minorHAnsi" w:cstheme="minorHAnsi"/>
        </w:rPr>
      </w:pPr>
      <w:r w:rsidRPr="009B67D4">
        <w:rPr>
          <w:rFonts w:asciiTheme="minorHAnsi" w:hAnsiTheme="minorHAnsi" w:cstheme="minorHAnsi"/>
        </w:rPr>
        <w:t xml:space="preserve">Section 3 (36) LOW-INCOME INDIVIDUAL.— </w:t>
      </w:r>
    </w:p>
    <w:p w14:paraId="65E68216" w14:textId="77777777" w:rsidR="00511A5F" w:rsidRPr="009B67D4" w:rsidRDefault="00511A5F" w:rsidP="00511A5F">
      <w:pPr>
        <w:spacing w:line="288" w:lineRule="auto"/>
        <w:rPr>
          <w:rFonts w:asciiTheme="minorHAnsi" w:hAnsiTheme="minorHAnsi" w:cstheme="minorHAnsi"/>
        </w:rPr>
      </w:pPr>
    </w:p>
    <w:p w14:paraId="548EEEE2" w14:textId="5277654B" w:rsidR="00511A5F" w:rsidRPr="009B67D4" w:rsidRDefault="00511A5F" w:rsidP="00511A5F">
      <w:pPr>
        <w:spacing w:line="288" w:lineRule="auto"/>
        <w:rPr>
          <w:rFonts w:asciiTheme="minorHAnsi" w:hAnsiTheme="minorHAnsi" w:cstheme="minorHAnsi"/>
        </w:rPr>
      </w:pPr>
      <w:r w:rsidRPr="009B67D4">
        <w:rPr>
          <w:rFonts w:asciiTheme="minorHAnsi" w:hAnsiTheme="minorHAnsi" w:cstheme="minorHAnsi"/>
        </w:rPr>
        <w:t>(A) IN GENERAL.—</w:t>
      </w:r>
      <w:r w:rsidR="00E33537" w:rsidRPr="009B67D4">
        <w:rPr>
          <w:rFonts w:asciiTheme="minorHAnsi" w:hAnsiTheme="minorHAnsi" w:cstheme="minorHAnsi"/>
        </w:rPr>
        <w:t>the</w:t>
      </w:r>
      <w:r w:rsidRPr="009B67D4">
        <w:rPr>
          <w:rFonts w:asciiTheme="minorHAnsi" w:hAnsiTheme="minorHAnsi" w:cstheme="minorHAnsi"/>
        </w:rPr>
        <w:t xml:space="preserve"> term ‘‘low-income individual’’ means an individual who— </w:t>
      </w:r>
    </w:p>
    <w:p w14:paraId="0A6F428D" w14:textId="77777777" w:rsidR="00511A5F" w:rsidRPr="009B67D4" w:rsidRDefault="00511A5F" w:rsidP="00511A5F">
      <w:pPr>
        <w:spacing w:line="288" w:lineRule="auto"/>
        <w:rPr>
          <w:rFonts w:asciiTheme="minorHAnsi" w:hAnsiTheme="minorHAnsi" w:cstheme="minorHAnsi"/>
        </w:rPr>
      </w:pPr>
      <w:r w:rsidRPr="009B67D4">
        <w:rPr>
          <w:rFonts w:asciiTheme="minorHAnsi" w:hAnsiTheme="minorHAnsi" w:cstheme="minorHAnsi"/>
        </w:rPr>
        <w:t xml:space="preserve">(i) receives, or in the past 6 months has received, or is a member of a family that is receiving or in the past 6 months has received, assistance through the supplemental nutrition assistance program established under the Food and Nutrition Act of 2008 (7.S.C. 2011 et seq.), the program of block grants to States for temporary assistance for needy families program under part A of title IV of the Social Security Act (42 U.S.C. 601 et seq.), or the supplemental security income program established under title XVI of the Social Security Act (42 U.S.C. 1381 et seq.), or State or local income-based public assistance; </w:t>
      </w:r>
    </w:p>
    <w:p w14:paraId="6958C4A8" w14:textId="77777777" w:rsidR="00511A5F" w:rsidRPr="00B2442D" w:rsidRDefault="00511A5F" w:rsidP="00511A5F">
      <w:pPr>
        <w:spacing w:line="288" w:lineRule="auto"/>
        <w:rPr>
          <w:rFonts w:asciiTheme="minorHAnsi" w:hAnsiTheme="minorHAnsi" w:cstheme="minorHAnsi"/>
          <w:b/>
        </w:rPr>
      </w:pPr>
      <w:r w:rsidRPr="00B2442D">
        <w:rPr>
          <w:rFonts w:asciiTheme="minorHAnsi" w:hAnsiTheme="minorHAnsi" w:cstheme="minorHAnsi"/>
          <w:b/>
        </w:rPr>
        <w:t xml:space="preserve">(ii) is in a family with total family income that does not exceed the higher of— </w:t>
      </w:r>
    </w:p>
    <w:p w14:paraId="0D7D4C08" w14:textId="77777777" w:rsidR="00511A5F" w:rsidRPr="00B2442D" w:rsidRDefault="00511A5F" w:rsidP="00511A5F">
      <w:pPr>
        <w:spacing w:line="288" w:lineRule="auto"/>
        <w:rPr>
          <w:rFonts w:asciiTheme="minorHAnsi" w:hAnsiTheme="minorHAnsi" w:cstheme="minorHAnsi"/>
          <w:b/>
        </w:rPr>
      </w:pPr>
      <w:r w:rsidRPr="00B2442D">
        <w:rPr>
          <w:rFonts w:asciiTheme="minorHAnsi" w:hAnsiTheme="minorHAnsi" w:cstheme="minorHAnsi"/>
          <w:b/>
        </w:rPr>
        <w:t xml:space="preserve">(I) the poverty line; or </w:t>
      </w:r>
    </w:p>
    <w:p w14:paraId="1ADA9112" w14:textId="77777777" w:rsidR="00511A5F" w:rsidRPr="00B2442D" w:rsidRDefault="00511A5F" w:rsidP="00511A5F">
      <w:pPr>
        <w:spacing w:line="288" w:lineRule="auto"/>
        <w:rPr>
          <w:rFonts w:asciiTheme="minorHAnsi" w:hAnsiTheme="minorHAnsi" w:cstheme="minorHAnsi"/>
          <w:b/>
        </w:rPr>
      </w:pPr>
      <w:r w:rsidRPr="00B2442D">
        <w:rPr>
          <w:rFonts w:asciiTheme="minorHAnsi" w:hAnsiTheme="minorHAnsi" w:cstheme="minorHAnsi"/>
          <w:b/>
        </w:rPr>
        <w:t xml:space="preserve">(II) 70 percent of the lower living standard income level; </w:t>
      </w:r>
    </w:p>
    <w:p w14:paraId="4DFC21ED" w14:textId="77777777" w:rsidR="00511A5F" w:rsidRPr="009B67D4" w:rsidRDefault="00511A5F" w:rsidP="00511A5F">
      <w:pPr>
        <w:spacing w:line="288" w:lineRule="auto"/>
        <w:rPr>
          <w:rFonts w:asciiTheme="minorHAnsi" w:hAnsiTheme="minorHAnsi" w:cstheme="minorHAnsi"/>
        </w:rPr>
      </w:pPr>
      <w:r w:rsidRPr="009B67D4">
        <w:rPr>
          <w:rFonts w:asciiTheme="minorHAnsi" w:hAnsiTheme="minorHAnsi" w:cstheme="minorHAnsi"/>
        </w:rPr>
        <w:lastRenderedPageBreak/>
        <w:t xml:space="preserve">(iii) is a homeless individual (as defined in section 41403(6) of the Violence Against Women Act of 1994 H. R. 803—12 (42 U.S.C. 14043e–2(6))), or a homeless child or youth (as defined under section 725(2) of the McKinney-Vento Homeless Assistance Act (42 U.S.C. 11434a(2)));  </w:t>
      </w:r>
    </w:p>
    <w:p w14:paraId="5CAE5863" w14:textId="77777777" w:rsidR="00511A5F" w:rsidRPr="009B67D4" w:rsidRDefault="00511A5F" w:rsidP="00511A5F">
      <w:pPr>
        <w:spacing w:line="288" w:lineRule="auto"/>
        <w:rPr>
          <w:rFonts w:asciiTheme="minorHAnsi" w:hAnsiTheme="minorHAnsi" w:cstheme="minorHAnsi"/>
        </w:rPr>
      </w:pPr>
      <w:r w:rsidRPr="009B67D4">
        <w:rPr>
          <w:rFonts w:asciiTheme="minorHAnsi" w:hAnsiTheme="minorHAnsi" w:cstheme="minorHAnsi"/>
        </w:rPr>
        <w:t xml:space="preserve">(iv) receives or is eligible to receive a free or reduced price lunch under the Richard B. Russell National School Lunch Act (42 U.S.C. 1751 et seq.); </w:t>
      </w:r>
    </w:p>
    <w:p w14:paraId="2781BF42" w14:textId="77777777" w:rsidR="00511A5F" w:rsidRPr="009B67D4" w:rsidRDefault="00511A5F" w:rsidP="00511A5F">
      <w:pPr>
        <w:spacing w:line="288" w:lineRule="auto"/>
        <w:rPr>
          <w:rFonts w:asciiTheme="minorHAnsi" w:hAnsiTheme="minorHAnsi" w:cstheme="minorHAnsi"/>
        </w:rPr>
      </w:pPr>
      <w:r w:rsidRPr="009B67D4">
        <w:rPr>
          <w:rFonts w:asciiTheme="minorHAnsi" w:hAnsiTheme="minorHAnsi" w:cstheme="minorHAnsi"/>
        </w:rPr>
        <w:t xml:space="preserve">(v) is a foster child on behalf of whom State or local government payments are made; or </w:t>
      </w:r>
    </w:p>
    <w:p w14:paraId="37931308" w14:textId="77777777" w:rsidR="00511A5F" w:rsidRPr="009B67D4" w:rsidRDefault="00511A5F" w:rsidP="00511A5F">
      <w:pPr>
        <w:spacing w:line="288" w:lineRule="auto"/>
        <w:rPr>
          <w:rFonts w:asciiTheme="minorHAnsi" w:hAnsiTheme="minorHAnsi" w:cstheme="minorHAnsi"/>
        </w:rPr>
      </w:pPr>
      <w:r w:rsidRPr="009B67D4">
        <w:rPr>
          <w:rFonts w:asciiTheme="minorHAnsi" w:hAnsiTheme="minorHAnsi" w:cstheme="minorHAnsi"/>
        </w:rPr>
        <w:t xml:space="preserve">(vi) is an individual with a disability whose own income meets the income requirement of clause (ii), but who is a member of a family whose income does not meet this requirement.  </w:t>
      </w:r>
    </w:p>
    <w:p w14:paraId="2975E2A2" w14:textId="5E9F0FC8" w:rsidR="002C65F6" w:rsidRPr="00B2442D" w:rsidRDefault="002C65F6" w:rsidP="002C65F6">
      <w:pPr>
        <w:pStyle w:val="Heading2"/>
        <w:spacing w:before="172" w:line="252" w:lineRule="auto"/>
        <w:ind w:left="834" w:right="286" w:firstLine="10"/>
        <w:rPr>
          <w:rFonts w:asciiTheme="minorHAnsi" w:hAnsiTheme="minorHAnsi" w:cstheme="minorHAnsi"/>
          <w:sz w:val="22"/>
          <w:szCs w:val="22"/>
        </w:rPr>
      </w:pPr>
      <w:r w:rsidRPr="00B2442D">
        <w:rPr>
          <w:rFonts w:asciiTheme="minorHAnsi" w:hAnsiTheme="minorHAnsi" w:cstheme="minorHAnsi"/>
          <w:color w:val="181818"/>
          <w:spacing w:val="2"/>
          <w:sz w:val="22"/>
          <w:szCs w:val="22"/>
        </w:rPr>
        <w:t>*</w:t>
      </w:r>
      <w:r w:rsidRPr="00B2442D">
        <w:rPr>
          <w:rFonts w:asciiTheme="minorHAnsi" w:hAnsiTheme="minorHAnsi" w:cstheme="minorHAnsi"/>
          <w:b/>
          <w:i/>
          <w:color w:val="181818"/>
          <w:spacing w:val="2"/>
          <w:sz w:val="22"/>
          <w:szCs w:val="22"/>
        </w:rPr>
        <w:t xml:space="preserve">SPECIAL </w:t>
      </w:r>
      <w:r w:rsidRPr="00B2442D">
        <w:rPr>
          <w:rFonts w:asciiTheme="minorHAnsi" w:hAnsiTheme="minorHAnsi" w:cstheme="minorHAnsi"/>
          <w:b/>
          <w:i/>
          <w:color w:val="181818"/>
          <w:sz w:val="22"/>
          <w:szCs w:val="22"/>
        </w:rPr>
        <w:t xml:space="preserve">RULE- </w:t>
      </w:r>
      <w:r w:rsidRPr="00B2442D">
        <w:rPr>
          <w:rFonts w:asciiTheme="minorHAnsi" w:hAnsiTheme="minorHAnsi" w:cstheme="minorHAnsi"/>
          <w:i/>
          <w:color w:val="181818"/>
          <w:sz w:val="22"/>
          <w:szCs w:val="22"/>
        </w:rPr>
        <w:t xml:space="preserve">For the purpose of this subsection, the term "low-income," used with respect </w:t>
      </w:r>
      <w:r w:rsidRPr="009B67D4">
        <w:rPr>
          <w:rFonts w:asciiTheme="minorHAnsi" w:hAnsiTheme="minorHAnsi" w:cstheme="minorHAnsi"/>
          <w:i/>
          <w:color w:val="181818"/>
          <w:sz w:val="22"/>
          <w:szCs w:val="22"/>
        </w:rPr>
        <w:t>to an</w:t>
      </w:r>
      <w:r w:rsidRPr="00B2442D">
        <w:rPr>
          <w:rFonts w:asciiTheme="minorHAnsi" w:hAnsiTheme="minorHAnsi" w:cstheme="minorHAnsi"/>
          <w:color w:val="181818"/>
          <w:sz w:val="22"/>
          <w:szCs w:val="22"/>
        </w:rPr>
        <w:t xml:space="preserve"> </w:t>
      </w:r>
      <w:r w:rsidRPr="00B2442D">
        <w:rPr>
          <w:rFonts w:asciiTheme="minorHAnsi" w:hAnsiTheme="minorHAnsi" w:cstheme="minorHAnsi"/>
          <w:color w:val="181818"/>
          <w:spacing w:val="-3"/>
          <w:sz w:val="22"/>
          <w:szCs w:val="22"/>
        </w:rPr>
        <w:t>individual</w:t>
      </w:r>
      <w:r w:rsidRPr="009B67D4">
        <w:rPr>
          <w:rFonts w:asciiTheme="minorHAnsi" w:hAnsiTheme="minorHAnsi" w:cstheme="minorHAnsi"/>
          <w:color w:val="333333"/>
          <w:spacing w:val="-3"/>
          <w:sz w:val="22"/>
          <w:szCs w:val="22"/>
        </w:rPr>
        <w:t>, also</w:t>
      </w:r>
      <w:r w:rsidRPr="00B2442D">
        <w:rPr>
          <w:rFonts w:asciiTheme="minorHAnsi" w:hAnsiTheme="minorHAnsi" w:cstheme="minorHAnsi"/>
          <w:color w:val="181818"/>
          <w:sz w:val="22"/>
          <w:szCs w:val="22"/>
        </w:rPr>
        <w:t xml:space="preserve"> </w:t>
      </w:r>
      <w:r w:rsidRPr="009B67D4">
        <w:rPr>
          <w:rFonts w:asciiTheme="minorHAnsi" w:hAnsiTheme="minorHAnsi" w:cstheme="minorHAnsi"/>
          <w:color w:val="181818"/>
          <w:sz w:val="22"/>
          <w:szCs w:val="22"/>
        </w:rPr>
        <w:t>includes a youth</w:t>
      </w:r>
      <w:r w:rsidRPr="00B2442D">
        <w:rPr>
          <w:rFonts w:asciiTheme="minorHAnsi" w:hAnsiTheme="minorHAnsi" w:cstheme="minorHAnsi"/>
          <w:color w:val="181818"/>
          <w:sz w:val="22"/>
          <w:szCs w:val="22"/>
        </w:rPr>
        <w:t xml:space="preserve"> living in a high-poverty</w:t>
      </w:r>
      <w:r w:rsidRPr="00B2442D">
        <w:rPr>
          <w:rFonts w:asciiTheme="minorHAnsi" w:hAnsiTheme="minorHAnsi" w:cstheme="minorHAnsi"/>
          <w:color w:val="181818"/>
          <w:spacing w:val="38"/>
          <w:sz w:val="22"/>
          <w:szCs w:val="22"/>
        </w:rPr>
        <w:t xml:space="preserve"> </w:t>
      </w:r>
      <w:r w:rsidRPr="00B2442D">
        <w:rPr>
          <w:rFonts w:asciiTheme="minorHAnsi" w:hAnsiTheme="minorHAnsi" w:cstheme="minorHAnsi"/>
          <w:color w:val="181818"/>
          <w:sz w:val="22"/>
          <w:szCs w:val="22"/>
        </w:rPr>
        <w:t>area.</w:t>
      </w:r>
    </w:p>
    <w:p w14:paraId="32EDD601" w14:textId="77777777" w:rsidR="00330872" w:rsidRPr="009B67D4" w:rsidRDefault="00330872" w:rsidP="00D03B8C">
      <w:pPr>
        <w:spacing w:line="288" w:lineRule="auto"/>
        <w:rPr>
          <w:rFonts w:asciiTheme="minorHAnsi" w:hAnsiTheme="minorHAnsi" w:cstheme="minorHAnsi"/>
        </w:rPr>
      </w:pPr>
    </w:p>
    <w:p w14:paraId="3B870AB0" w14:textId="77777777" w:rsidR="00330872" w:rsidRPr="00B2442D" w:rsidRDefault="00330872" w:rsidP="00330872">
      <w:pPr>
        <w:pStyle w:val="BodyText"/>
        <w:spacing w:line="295" w:lineRule="auto"/>
        <w:ind w:left="109" w:right="286" w:hanging="2"/>
        <w:rPr>
          <w:rFonts w:asciiTheme="minorHAnsi" w:hAnsiTheme="minorHAnsi" w:cstheme="minorHAnsi"/>
          <w:sz w:val="22"/>
          <w:szCs w:val="22"/>
        </w:rPr>
      </w:pPr>
      <w:r w:rsidRPr="00B2442D">
        <w:rPr>
          <w:rFonts w:asciiTheme="minorHAnsi" w:hAnsiTheme="minorHAnsi" w:cstheme="minorHAnsi"/>
          <w:b/>
          <w:color w:val="181818"/>
          <w:w w:val="105"/>
          <w:sz w:val="22"/>
          <w:szCs w:val="22"/>
        </w:rPr>
        <w:t xml:space="preserve">Lower Living Standard Income Level </w:t>
      </w:r>
      <w:r w:rsidRPr="00B2442D">
        <w:rPr>
          <w:rFonts w:asciiTheme="minorHAnsi" w:hAnsiTheme="minorHAnsi" w:cstheme="minorHAnsi"/>
          <w:color w:val="181818"/>
          <w:w w:val="105"/>
          <w:sz w:val="22"/>
          <w:szCs w:val="22"/>
        </w:rPr>
        <w:t>- income level (adjusted for regional, metropolitan, urban, and rural differences and family size) determined annually by the Secretary of Labor based on the most recent lower living family budget issued by the  Secretary.</w:t>
      </w:r>
    </w:p>
    <w:p w14:paraId="46B1E272" w14:textId="77777777" w:rsidR="00330872" w:rsidRPr="00B2442D" w:rsidRDefault="00330872" w:rsidP="00330872">
      <w:pPr>
        <w:pStyle w:val="BodyText"/>
        <w:spacing w:before="4"/>
        <w:rPr>
          <w:rFonts w:asciiTheme="minorHAnsi" w:hAnsiTheme="minorHAnsi" w:cstheme="minorHAnsi"/>
          <w:sz w:val="22"/>
          <w:szCs w:val="22"/>
        </w:rPr>
      </w:pPr>
    </w:p>
    <w:p w14:paraId="31490775" w14:textId="4975E0A9" w:rsidR="00330872" w:rsidRPr="00B2442D" w:rsidRDefault="00330872" w:rsidP="00330872">
      <w:pPr>
        <w:pStyle w:val="BodyText"/>
        <w:spacing w:line="295" w:lineRule="auto"/>
        <w:ind w:left="110" w:hanging="6"/>
        <w:rPr>
          <w:rFonts w:asciiTheme="minorHAnsi" w:hAnsiTheme="minorHAnsi" w:cstheme="minorHAnsi"/>
          <w:color w:val="181818"/>
          <w:w w:val="105"/>
          <w:sz w:val="22"/>
          <w:szCs w:val="22"/>
        </w:rPr>
      </w:pPr>
      <w:r w:rsidRPr="00B2442D">
        <w:rPr>
          <w:rFonts w:asciiTheme="minorHAnsi" w:hAnsiTheme="minorHAnsi" w:cstheme="minorHAnsi"/>
          <w:b/>
          <w:color w:val="181818"/>
          <w:w w:val="105"/>
          <w:sz w:val="22"/>
          <w:szCs w:val="22"/>
        </w:rPr>
        <w:t xml:space="preserve">Self-sufficiency </w:t>
      </w:r>
      <w:r w:rsidRPr="00B2442D">
        <w:rPr>
          <w:rFonts w:asciiTheme="minorHAnsi" w:hAnsiTheme="minorHAnsi" w:cstheme="minorHAnsi"/>
          <w:color w:val="181818"/>
          <w:w w:val="105"/>
          <w:sz w:val="22"/>
          <w:szCs w:val="22"/>
        </w:rPr>
        <w:t xml:space="preserve">- employment that pays </w:t>
      </w:r>
      <w:r w:rsidRPr="00B2442D">
        <w:rPr>
          <w:rFonts w:asciiTheme="minorHAnsi" w:hAnsiTheme="minorHAnsi" w:cstheme="minorHAnsi"/>
          <w:b/>
          <w:color w:val="181818"/>
          <w:w w:val="105"/>
          <w:sz w:val="22"/>
          <w:szCs w:val="22"/>
        </w:rPr>
        <w:t xml:space="preserve">at least </w:t>
      </w:r>
      <w:r w:rsidRPr="00B2442D">
        <w:rPr>
          <w:rFonts w:asciiTheme="minorHAnsi" w:hAnsiTheme="minorHAnsi" w:cstheme="minorHAnsi"/>
          <w:color w:val="181818"/>
          <w:w w:val="105"/>
          <w:sz w:val="22"/>
          <w:szCs w:val="22"/>
        </w:rPr>
        <w:t>100% of the Lower Living Standard Income Level; self­ sufficiency for a dislocated worker may be defined in relation to a percentage of the layoff wage.</w:t>
      </w:r>
    </w:p>
    <w:p w14:paraId="2EE91BF4" w14:textId="77777777" w:rsidR="00330872" w:rsidRPr="00B2442D" w:rsidRDefault="00330872" w:rsidP="00330872">
      <w:pPr>
        <w:pStyle w:val="BodyText"/>
        <w:spacing w:line="295" w:lineRule="auto"/>
        <w:ind w:left="110" w:hanging="6"/>
        <w:rPr>
          <w:rFonts w:asciiTheme="minorHAnsi" w:hAnsiTheme="minorHAnsi" w:cstheme="minorHAnsi"/>
          <w:sz w:val="22"/>
          <w:szCs w:val="22"/>
        </w:rPr>
      </w:pPr>
    </w:p>
    <w:p w14:paraId="49E6E088" w14:textId="77777777" w:rsidR="00330872" w:rsidRPr="00B2442D" w:rsidRDefault="00330872" w:rsidP="00330872">
      <w:pPr>
        <w:pStyle w:val="Heading4"/>
        <w:spacing w:before="67" w:line="283" w:lineRule="auto"/>
        <w:ind w:left="118" w:right="176" w:firstLine="4"/>
        <w:jc w:val="both"/>
        <w:rPr>
          <w:rFonts w:asciiTheme="minorHAnsi" w:hAnsiTheme="minorHAnsi" w:cstheme="minorHAnsi"/>
          <w:sz w:val="22"/>
          <w:szCs w:val="22"/>
        </w:rPr>
      </w:pPr>
      <w:r w:rsidRPr="00B2442D">
        <w:rPr>
          <w:rFonts w:asciiTheme="minorHAnsi" w:hAnsiTheme="minorHAnsi" w:cstheme="minorHAnsi"/>
          <w:b/>
          <w:color w:val="151515"/>
          <w:sz w:val="22"/>
          <w:szCs w:val="22"/>
        </w:rPr>
        <w:t xml:space="preserve">Economic self-sufficiency standard </w:t>
      </w:r>
      <w:r w:rsidRPr="00B2442D">
        <w:rPr>
          <w:rFonts w:asciiTheme="minorHAnsi" w:hAnsiTheme="minorHAnsi" w:cstheme="minorHAnsi"/>
          <w:color w:val="151515"/>
          <w:sz w:val="22"/>
          <w:szCs w:val="22"/>
        </w:rPr>
        <w:t xml:space="preserve">- an economic standard that meets or exceeds the State's minimum requirement that specifies the income needs of families by family size, the number and ages of children in the family, and sub-state geographical considerations (not a performance </w:t>
      </w:r>
      <w:r w:rsidRPr="00B2442D">
        <w:rPr>
          <w:rFonts w:asciiTheme="minorHAnsi" w:hAnsiTheme="minorHAnsi" w:cstheme="minorHAnsi"/>
          <w:color w:val="151515"/>
          <w:spacing w:val="1"/>
          <w:sz w:val="22"/>
          <w:szCs w:val="22"/>
        </w:rPr>
        <w:t xml:space="preserve"> </w:t>
      </w:r>
      <w:r w:rsidRPr="00B2442D">
        <w:rPr>
          <w:rFonts w:asciiTheme="minorHAnsi" w:hAnsiTheme="minorHAnsi" w:cstheme="minorHAnsi"/>
          <w:color w:val="151515"/>
          <w:sz w:val="22"/>
          <w:szCs w:val="22"/>
        </w:rPr>
        <w:t>measure).</w:t>
      </w:r>
    </w:p>
    <w:p w14:paraId="448995F4" w14:textId="77777777" w:rsidR="00327995" w:rsidRPr="009B67D4" w:rsidRDefault="00327995" w:rsidP="009305D5">
      <w:pPr>
        <w:spacing w:line="288" w:lineRule="auto"/>
        <w:rPr>
          <w:rFonts w:asciiTheme="minorHAnsi" w:hAnsiTheme="minorHAnsi" w:cstheme="minorHAnsi"/>
          <w:b/>
        </w:rPr>
      </w:pPr>
    </w:p>
    <w:p w14:paraId="58CD1932" w14:textId="450AA5DB" w:rsidR="00AE5FB9" w:rsidRPr="009B67D4" w:rsidRDefault="00A05816" w:rsidP="009305D5">
      <w:pPr>
        <w:spacing w:line="288" w:lineRule="auto"/>
        <w:rPr>
          <w:rFonts w:asciiTheme="minorHAnsi" w:hAnsiTheme="minorHAnsi" w:cstheme="minorHAnsi"/>
          <w:b/>
        </w:rPr>
      </w:pPr>
      <w:r w:rsidRPr="009B67D4">
        <w:rPr>
          <w:rFonts w:asciiTheme="minorHAnsi" w:hAnsiTheme="minorHAnsi" w:cstheme="minorHAnsi"/>
          <w:b/>
        </w:rPr>
        <w:t>Guidance</w:t>
      </w:r>
      <w:r w:rsidR="00AE5FB9" w:rsidRPr="009B67D4">
        <w:rPr>
          <w:rFonts w:asciiTheme="minorHAnsi" w:hAnsiTheme="minorHAnsi" w:cstheme="minorHAnsi"/>
          <w:b/>
        </w:rPr>
        <w:t xml:space="preserve">: </w:t>
      </w:r>
    </w:p>
    <w:p w14:paraId="06522A6F" w14:textId="78A89048" w:rsidR="00511A5F" w:rsidRPr="00B2442D" w:rsidRDefault="00511A5F" w:rsidP="00511A5F">
      <w:pPr>
        <w:spacing w:line="288" w:lineRule="auto"/>
        <w:rPr>
          <w:rFonts w:asciiTheme="minorHAnsi" w:hAnsiTheme="minorHAnsi" w:cstheme="minorHAnsi"/>
          <w:b/>
        </w:rPr>
      </w:pPr>
      <w:r w:rsidRPr="009B67D4">
        <w:rPr>
          <w:rFonts w:asciiTheme="minorHAnsi" w:hAnsiTheme="minorHAnsi" w:cstheme="minorHAnsi"/>
        </w:rPr>
        <w:t>The following guidelines are to be used in determining low-income eligibility</w:t>
      </w:r>
      <w:r w:rsidR="005747AB" w:rsidRPr="009B67D4">
        <w:rPr>
          <w:rFonts w:asciiTheme="minorHAnsi" w:hAnsiTheme="minorHAnsi" w:cstheme="minorHAnsi"/>
        </w:rPr>
        <w:t xml:space="preserve"> in </w:t>
      </w:r>
      <w:r w:rsidR="00895340">
        <w:rPr>
          <w:rFonts w:asciiTheme="minorHAnsi" w:hAnsiTheme="minorHAnsi" w:cstheme="minorHAnsi"/>
        </w:rPr>
        <w:t xml:space="preserve">Central </w:t>
      </w:r>
      <w:r w:rsidR="005747AB" w:rsidRPr="009B67D4">
        <w:rPr>
          <w:rFonts w:asciiTheme="minorHAnsi" w:hAnsiTheme="minorHAnsi" w:cstheme="minorHAnsi"/>
        </w:rPr>
        <w:t>Region (LWDS 07)</w:t>
      </w:r>
      <w:r w:rsidRPr="009B67D4">
        <w:rPr>
          <w:rFonts w:asciiTheme="minorHAnsi" w:hAnsiTheme="minorHAnsi" w:cstheme="minorHAnsi"/>
        </w:rPr>
        <w:t>.  Poverty Guidelines are to be used for the “poverty line</w:t>
      </w:r>
      <w:r w:rsidRPr="00B2442D">
        <w:rPr>
          <w:rFonts w:asciiTheme="minorHAnsi" w:hAnsiTheme="minorHAnsi" w:cstheme="minorHAnsi"/>
          <w:b/>
        </w:rPr>
        <w:t xml:space="preserve">.”   The 70% Lower Living Standard Income Level appropriate to the applicant’s place of residence should be used to determine eligibility, where appropriate.  </w:t>
      </w:r>
    </w:p>
    <w:p w14:paraId="7DDE265B" w14:textId="64B459E1" w:rsidR="000E567F" w:rsidRPr="00B2442D" w:rsidRDefault="00511A5F" w:rsidP="00B2442D">
      <w:pPr>
        <w:spacing w:line="288" w:lineRule="auto"/>
        <w:rPr>
          <w:rFonts w:asciiTheme="minorHAnsi" w:hAnsiTheme="minorHAnsi" w:cstheme="minorHAnsi"/>
        </w:rPr>
      </w:pPr>
      <w:r w:rsidRPr="00511A5F">
        <w:rPr>
          <w:rFonts w:asciiTheme="minorHAnsi" w:hAnsiTheme="minorHAnsi" w:cstheme="minorHAnsi"/>
        </w:rPr>
        <w:t xml:space="preserve"> </w:t>
      </w:r>
    </w:p>
    <w:tbl>
      <w:tblPr>
        <w:tblW w:w="0" w:type="auto"/>
        <w:tblInd w:w="4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03"/>
        <w:gridCol w:w="4432"/>
      </w:tblGrid>
      <w:tr w:rsidR="00C274BB" w14:paraId="09E788A6" w14:textId="77777777" w:rsidTr="00B2442D">
        <w:trPr>
          <w:trHeight w:hRule="exact" w:val="1095"/>
        </w:trPr>
        <w:tc>
          <w:tcPr>
            <w:tcW w:w="8835" w:type="dxa"/>
            <w:gridSpan w:val="2"/>
            <w:tcBorders>
              <w:left w:val="single" w:sz="8" w:space="0" w:color="000000"/>
            </w:tcBorders>
          </w:tcPr>
          <w:p w14:paraId="3F2502C1" w14:textId="75E8E826" w:rsidR="00C274BB" w:rsidRDefault="00C274BB" w:rsidP="00B2442D">
            <w:pPr>
              <w:pStyle w:val="TableParagraph"/>
              <w:spacing w:before="59" w:line="328" w:lineRule="auto"/>
              <w:ind w:left="2961" w:right="2342" w:hanging="575"/>
              <w:jc w:val="center"/>
              <w:rPr>
                <w:b/>
                <w:sz w:val="18"/>
              </w:rPr>
            </w:pPr>
            <w:r>
              <w:rPr>
                <w:b/>
                <w:color w:val="050505"/>
                <w:w w:val="115"/>
                <w:sz w:val="18"/>
              </w:rPr>
              <w:t xml:space="preserve">70% Lower Living Standard Income Level Metro-Level </w:t>
            </w:r>
            <w:r>
              <w:rPr>
                <w:color w:val="151515"/>
                <w:w w:val="115"/>
                <w:sz w:val="18"/>
              </w:rPr>
              <w:t xml:space="preserve">- </w:t>
            </w:r>
            <w:r>
              <w:rPr>
                <w:b/>
                <w:i/>
                <w:color w:val="050505"/>
                <w:w w:val="115"/>
                <w:sz w:val="19"/>
              </w:rPr>
              <w:t xml:space="preserve">SOUTH </w:t>
            </w:r>
            <w:r>
              <w:rPr>
                <w:b/>
                <w:color w:val="050505"/>
                <w:w w:val="115"/>
                <w:sz w:val="18"/>
              </w:rPr>
              <w:t>Region (</w:t>
            </w:r>
            <w:r w:rsidR="00895340">
              <w:rPr>
                <w:b/>
                <w:color w:val="050505"/>
                <w:w w:val="115"/>
                <w:sz w:val="18"/>
              </w:rPr>
              <w:t xml:space="preserve">Central </w:t>
            </w:r>
            <w:r>
              <w:rPr>
                <w:b/>
                <w:color w:val="050505"/>
                <w:w w:val="115"/>
                <w:sz w:val="18"/>
              </w:rPr>
              <w:t>Region)</w:t>
            </w:r>
          </w:p>
        </w:tc>
      </w:tr>
      <w:tr w:rsidR="00C274BB" w14:paraId="4859B2E3" w14:textId="77777777" w:rsidTr="00025829">
        <w:trPr>
          <w:trHeight w:hRule="exact" w:val="477"/>
        </w:trPr>
        <w:tc>
          <w:tcPr>
            <w:tcW w:w="4403" w:type="dxa"/>
            <w:tcBorders>
              <w:left w:val="single" w:sz="8" w:space="0" w:color="000000"/>
              <w:bottom w:val="single" w:sz="8" w:space="0" w:color="000000"/>
            </w:tcBorders>
          </w:tcPr>
          <w:p w14:paraId="1271F650" w14:textId="57CF56FB" w:rsidR="00C274BB" w:rsidRDefault="00C274BB" w:rsidP="00025829">
            <w:pPr>
              <w:pStyle w:val="TableParagraph"/>
              <w:spacing w:before="39"/>
              <w:ind w:left="1315" w:right="1327"/>
              <w:jc w:val="center"/>
              <w:rPr>
                <w:b/>
                <w:sz w:val="18"/>
              </w:rPr>
            </w:pPr>
            <w:r>
              <w:rPr>
                <w:b/>
                <w:color w:val="050505"/>
                <w:sz w:val="18"/>
              </w:rPr>
              <w:t>Size of Family. Unit</w:t>
            </w:r>
          </w:p>
        </w:tc>
        <w:tc>
          <w:tcPr>
            <w:tcW w:w="4432" w:type="dxa"/>
            <w:tcBorders>
              <w:bottom w:val="single" w:sz="8" w:space="0" w:color="000000"/>
            </w:tcBorders>
          </w:tcPr>
          <w:p w14:paraId="390322C5" w14:textId="77777777" w:rsidR="00C274BB" w:rsidRDefault="00C274BB" w:rsidP="00025829">
            <w:pPr>
              <w:pStyle w:val="TableParagraph"/>
              <w:spacing w:before="39"/>
              <w:ind w:left="1729" w:right="1737"/>
              <w:jc w:val="center"/>
              <w:rPr>
                <w:b/>
                <w:sz w:val="18"/>
              </w:rPr>
            </w:pPr>
            <w:r>
              <w:rPr>
                <w:b/>
                <w:color w:val="050505"/>
                <w:sz w:val="18"/>
              </w:rPr>
              <w:t>70% LLSIL</w:t>
            </w:r>
          </w:p>
        </w:tc>
      </w:tr>
      <w:tr w:rsidR="00C274BB" w14:paraId="6A8FD8FD" w14:textId="77777777" w:rsidTr="00B2442D">
        <w:trPr>
          <w:trHeight w:hRule="exact" w:val="551"/>
        </w:trPr>
        <w:tc>
          <w:tcPr>
            <w:tcW w:w="4403" w:type="dxa"/>
            <w:tcBorders>
              <w:top w:val="single" w:sz="8" w:space="0" w:color="000000"/>
              <w:left w:val="single" w:sz="8" w:space="0" w:color="000000"/>
            </w:tcBorders>
          </w:tcPr>
          <w:p w14:paraId="343087B5" w14:textId="77777777" w:rsidR="00C274BB" w:rsidRDefault="00C274BB" w:rsidP="00025829">
            <w:pPr>
              <w:pStyle w:val="TableParagraph"/>
              <w:spacing w:before="35"/>
              <w:ind w:left="0" w:right="33"/>
              <w:jc w:val="center"/>
              <w:rPr>
                <w:b/>
                <w:sz w:val="18"/>
              </w:rPr>
            </w:pPr>
            <w:r>
              <w:rPr>
                <w:b/>
                <w:color w:val="050505"/>
                <w:w w:val="88"/>
                <w:sz w:val="18"/>
              </w:rPr>
              <w:t>1</w:t>
            </w:r>
          </w:p>
        </w:tc>
        <w:tc>
          <w:tcPr>
            <w:tcW w:w="4432" w:type="dxa"/>
            <w:tcBorders>
              <w:top w:val="single" w:sz="8" w:space="0" w:color="000000"/>
            </w:tcBorders>
          </w:tcPr>
          <w:p w14:paraId="44D2EB0B" w14:textId="5410B066" w:rsidR="00C274BB" w:rsidRDefault="00C274BB" w:rsidP="00025829">
            <w:pPr>
              <w:pStyle w:val="TableParagraph"/>
              <w:spacing w:before="39" w:line="540" w:lineRule="auto"/>
              <w:ind w:left="1824" w:right="1833" w:hanging="22"/>
              <w:jc w:val="center"/>
              <w:rPr>
                <w:b/>
                <w:sz w:val="18"/>
              </w:rPr>
            </w:pPr>
            <w:r>
              <w:rPr>
                <w:b/>
                <w:color w:val="050505"/>
                <w:w w:val="105"/>
                <w:sz w:val="18"/>
              </w:rPr>
              <w:t xml:space="preserve"> ($9,216)</w:t>
            </w:r>
          </w:p>
        </w:tc>
      </w:tr>
      <w:tr w:rsidR="00C274BB" w14:paraId="023555F8" w14:textId="77777777" w:rsidTr="00025829">
        <w:trPr>
          <w:trHeight w:hRule="exact" w:val="479"/>
        </w:trPr>
        <w:tc>
          <w:tcPr>
            <w:tcW w:w="4403" w:type="dxa"/>
            <w:tcBorders>
              <w:left w:val="single" w:sz="8" w:space="0" w:color="000000"/>
            </w:tcBorders>
          </w:tcPr>
          <w:p w14:paraId="2B845381" w14:textId="77777777" w:rsidR="00C274BB" w:rsidRDefault="00C274BB" w:rsidP="00025829">
            <w:pPr>
              <w:pStyle w:val="TableParagraph"/>
              <w:spacing w:before="30"/>
              <w:ind w:left="9"/>
              <w:jc w:val="center"/>
              <w:rPr>
                <w:sz w:val="19"/>
              </w:rPr>
            </w:pPr>
            <w:r>
              <w:rPr>
                <w:color w:val="050505"/>
                <w:w w:val="109"/>
                <w:sz w:val="19"/>
              </w:rPr>
              <w:t>2</w:t>
            </w:r>
          </w:p>
        </w:tc>
        <w:tc>
          <w:tcPr>
            <w:tcW w:w="4432" w:type="dxa"/>
          </w:tcPr>
          <w:p w14:paraId="0E843D6E" w14:textId="77777777" w:rsidR="00C274BB" w:rsidRDefault="00C274BB" w:rsidP="00025829">
            <w:pPr>
              <w:pStyle w:val="TableParagraph"/>
              <w:spacing w:before="39"/>
              <w:ind w:left="1729" w:right="1735"/>
              <w:jc w:val="center"/>
              <w:rPr>
                <w:b/>
                <w:sz w:val="18"/>
              </w:rPr>
            </w:pPr>
            <w:r>
              <w:rPr>
                <w:b/>
                <w:color w:val="050505"/>
                <w:w w:val="110"/>
                <w:sz w:val="18"/>
              </w:rPr>
              <w:t>(15,101)</w:t>
            </w:r>
          </w:p>
        </w:tc>
      </w:tr>
      <w:tr w:rsidR="00C274BB" w14:paraId="45C93619" w14:textId="77777777" w:rsidTr="00025829">
        <w:trPr>
          <w:trHeight w:hRule="exact" w:val="479"/>
        </w:trPr>
        <w:tc>
          <w:tcPr>
            <w:tcW w:w="4403" w:type="dxa"/>
            <w:tcBorders>
              <w:left w:val="single" w:sz="8" w:space="0" w:color="000000"/>
              <w:bottom w:val="single" w:sz="8" w:space="0" w:color="000000"/>
            </w:tcBorders>
          </w:tcPr>
          <w:p w14:paraId="532FB6A0" w14:textId="77777777" w:rsidR="00C274BB" w:rsidRDefault="00C274BB" w:rsidP="00025829">
            <w:pPr>
              <w:pStyle w:val="TableParagraph"/>
              <w:spacing w:before="30"/>
              <w:ind w:left="6"/>
              <w:jc w:val="center"/>
              <w:rPr>
                <w:sz w:val="19"/>
              </w:rPr>
            </w:pPr>
            <w:r>
              <w:rPr>
                <w:color w:val="050505"/>
                <w:w w:val="111"/>
                <w:sz w:val="19"/>
              </w:rPr>
              <w:t>3</w:t>
            </w:r>
          </w:p>
        </w:tc>
        <w:tc>
          <w:tcPr>
            <w:tcW w:w="4432" w:type="dxa"/>
            <w:tcBorders>
              <w:bottom w:val="single" w:sz="8" w:space="0" w:color="000000"/>
            </w:tcBorders>
          </w:tcPr>
          <w:p w14:paraId="687E066B" w14:textId="77777777" w:rsidR="00C274BB" w:rsidRDefault="00C274BB" w:rsidP="00025829">
            <w:pPr>
              <w:pStyle w:val="TableParagraph"/>
              <w:spacing w:before="39"/>
              <w:ind w:left="1726" w:right="1737"/>
              <w:jc w:val="center"/>
              <w:rPr>
                <w:b/>
                <w:sz w:val="18"/>
              </w:rPr>
            </w:pPr>
            <w:r>
              <w:rPr>
                <w:b/>
                <w:color w:val="050505"/>
                <w:w w:val="110"/>
                <w:sz w:val="18"/>
              </w:rPr>
              <w:t>20,727</w:t>
            </w:r>
          </w:p>
        </w:tc>
      </w:tr>
      <w:tr w:rsidR="00C274BB" w14:paraId="03EB1457" w14:textId="77777777" w:rsidTr="00025829">
        <w:trPr>
          <w:trHeight w:hRule="exact" w:val="479"/>
        </w:trPr>
        <w:tc>
          <w:tcPr>
            <w:tcW w:w="4403" w:type="dxa"/>
            <w:tcBorders>
              <w:top w:val="single" w:sz="8" w:space="0" w:color="000000"/>
              <w:left w:val="single" w:sz="8" w:space="0" w:color="000000"/>
              <w:right w:val="single" w:sz="4" w:space="0" w:color="000000"/>
            </w:tcBorders>
          </w:tcPr>
          <w:p w14:paraId="532D4741" w14:textId="77777777" w:rsidR="00C274BB" w:rsidRDefault="00C274BB" w:rsidP="00025829">
            <w:pPr>
              <w:pStyle w:val="TableParagraph"/>
              <w:spacing w:before="23"/>
              <w:ind w:left="4"/>
              <w:jc w:val="center"/>
              <w:rPr>
                <w:sz w:val="19"/>
              </w:rPr>
            </w:pPr>
            <w:r>
              <w:rPr>
                <w:color w:val="050505"/>
                <w:w w:val="110"/>
                <w:sz w:val="19"/>
              </w:rPr>
              <w:t>4</w:t>
            </w:r>
          </w:p>
        </w:tc>
        <w:tc>
          <w:tcPr>
            <w:tcW w:w="4432" w:type="dxa"/>
            <w:tcBorders>
              <w:top w:val="single" w:sz="8" w:space="0" w:color="000000"/>
              <w:left w:val="single" w:sz="4" w:space="0" w:color="000000"/>
            </w:tcBorders>
          </w:tcPr>
          <w:p w14:paraId="0B137137" w14:textId="77777777" w:rsidR="00C274BB" w:rsidRDefault="00C274BB" w:rsidP="00025829">
            <w:pPr>
              <w:pStyle w:val="TableParagraph"/>
              <w:spacing w:before="37"/>
              <w:ind w:left="1885" w:right="1888"/>
              <w:jc w:val="center"/>
              <w:rPr>
                <w:b/>
                <w:sz w:val="18"/>
              </w:rPr>
            </w:pPr>
            <w:r>
              <w:rPr>
                <w:b/>
                <w:color w:val="050505"/>
                <w:w w:val="110"/>
                <w:sz w:val="18"/>
              </w:rPr>
              <w:t>25,588</w:t>
            </w:r>
          </w:p>
        </w:tc>
      </w:tr>
      <w:tr w:rsidR="00C274BB" w14:paraId="7A0A172A" w14:textId="77777777" w:rsidTr="00025829">
        <w:trPr>
          <w:trHeight w:hRule="exact" w:val="474"/>
        </w:trPr>
        <w:tc>
          <w:tcPr>
            <w:tcW w:w="4403" w:type="dxa"/>
            <w:tcBorders>
              <w:left w:val="single" w:sz="8" w:space="0" w:color="000000"/>
            </w:tcBorders>
          </w:tcPr>
          <w:p w14:paraId="6C77FA69" w14:textId="77777777" w:rsidR="00C274BB" w:rsidRDefault="00C274BB" w:rsidP="00025829">
            <w:pPr>
              <w:pStyle w:val="TableParagraph"/>
              <w:spacing w:before="39"/>
              <w:ind w:left="0" w:right="7"/>
              <w:jc w:val="center"/>
              <w:rPr>
                <w:b/>
                <w:sz w:val="18"/>
              </w:rPr>
            </w:pPr>
            <w:r>
              <w:rPr>
                <w:b/>
                <w:color w:val="050505"/>
                <w:w w:val="111"/>
                <w:sz w:val="18"/>
              </w:rPr>
              <w:t>5</w:t>
            </w:r>
          </w:p>
        </w:tc>
        <w:tc>
          <w:tcPr>
            <w:tcW w:w="4432" w:type="dxa"/>
          </w:tcPr>
          <w:p w14:paraId="51CE7FCF" w14:textId="77777777" w:rsidR="00C274BB" w:rsidRDefault="00C274BB" w:rsidP="00025829">
            <w:pPr>
              <w:pStyle w:val="TableParagraph"/>
              <w:spacing w:before="39"/>
              <w:ind w:left="1729" w:right="1729"/>
              <w:jc w:val="center"/>
              <w:rPr>
                <w:b/>
                <w:sz w:val="18"/>
              </w:rPr>
            </w:pPr>
            <w:r>
              <w:rPr>
                <w:b/>
                <w:color w:val="050505"/>
                <w:w w:val="115"/>
                <w:sz w:val="18"/>
              </w:rPr>
              <w:t>30,201</w:t>
            </w:r>
          </w:p>
        </w:tc>
      </w:tr>
      <w:tr w:rsidR="00C274BB" w14:paraId="52456F0D" w14:textId="77777777" w:rsidTr="00025829">
        <w:trPr>
          <w:trHeight w:hRule="exact" w:val="479"/>
        </w:trPr>
        <w:tc>
          <w:tcPr>
            <w:tcW w:w="4403" w:type="dxa"/>
            <w:tcBorders>
              <w:left w:val="single" w:sz="8" w:space="0" w:color="000000"/>
            </w:tcBorders>
          </w:tcPr>
          <w:p w14:paraId="7027A6D5" w14:textId="77777777" w:rsidR="00C274BB" w:rsidRDefault="00C274BB" w:rsidP="00025829">
            <w:pPr>
              <w:pStyle w:val="TableParagraph"/>
              <w:spacing w:before="30"/>
              <w:ind w:left="5"/>
              <w:jc w:val="center"/>
              <w:rPr>
                <w:sz w:val="19"/>
              </w:rPr>
            </w:pPr>
            <w:r>
              <w:rPr>
                <w:color w:val="050505"/>
                <w:w w:val="109"/>
                <w:sz w:val="19"/>
              </w:rPr>
              <w:t>6</w:t>
            </w:r>
          </w:p>
        </w:tc>
        <w:tc>
          <w:tcPr>
            <w:tcW w:w="4432" w:type="dxa"/>
          </w:tcPr>
          <w:p w14:paraId="3C382DE5" w14:textId="77777777" w:rsidR="00C274BB" w:rsidRDefault="00C274BB" w:rsidP="00025829">
            <w:pPr>
              <w:pStyle w:val="TableParagraph"/>
              <w:spacing w:before="39"/>
              <w:ind w:left="1729" w:right="1720"/>
              <w:jc w:val="center"/>
              <w:rPr>
                <w:b/>
                <w:sz w:val="18"/>
              </w:rPr>
            </w:pPr>
            <w:r>
              <w:rPr>
                <w:b/>
                <w:color w:val="050505"/>
                <w:w w:val="115"/>
                <w:sz w:val="18"/>
              </w:rPr>
              <w:t>35,321</w:t>
            </w:r>
          </w:p>
        </w:tc>
      </w:tr>
    </w:tbl>
    <w:p w14:paraId="2F3D9A25" w14:textId="77777777" w:rsidR="005747AB" w:rsidRDefault="00C274BB" w:rsidP="00C274BB">
      <w:pPr>
        <w:pStyle w:val="BodyText"/>
        <w:spacing w:before="69" w:line="276" w:lineRule="auto"/>
        <w:ind w:left="223"/>
        <w:rPr>
          <w:color w:val="161616"/>
          <w:w w:val="105"/>
        </w:rPr>
      </w:pPr>
      <w:r>
        <w:rPr>
          <w:color w:val="161616"/>
          <w:w w:val="105"/>
        </w:rPr>
        <w:t>For the values in parentheses, the Poverty level is higher for the corresponding family size. For each family</w:t>
      </w:r>
    </w:p>
    <w:p w14:paraId="403D5798" w14:textId="694F4BD0" w:rsidR="00C274BB" w:rsidRDefault="00C274BB" w:rsidP="00C274BB">
      <w:pPr>
        <w:pStyle w:val="BodyText"/>
        <w:spacing w:before="69" w:line="276" w:lineRule="auto"/>
        <w:ind w:left="223"/>
        <w:rPr>
          <w:rFonts w:ascii="Times New Roman"/>
          <w:b/>
          <w:sz w:val="21"/>
        </w:rPr>
      </w:pPr>
      <w:r>
        <w:rPr>
          <w:color w:val="161616"/>
          <w:w w:val="105"/>
        </w:rPr>
        <w:lastRenderedPageBreak/>
        <w:t xml:space="preserve"> member above </w:t>
      </w:r>
      <w:r>
        <w:rPr>
          <w:rFonts w:ascii="Times New Roman"/>
          <w:b/>
          <w:color w:val="161616"/>
          <w:w w:val="105"/>
          <w:sz w:val="21"/>
        </w:rPr>
        <w:t xml:space="preserve">6 </w:t>
      </w:r>
      <w:r>
        <w:rPr>
          <w:color w:val="161616"/>
          <w:w w:val="105"/>
        </w:rPr>
        <w:t xml:space="preserve">add </w:t>
      </w:r>
      <w:r>
        <w:rPr>
          <w:rFonts w:ascii="Times New Roman"/>
          <w:b/>
          <w:color w:val="161616"/>
          <w:w w:val="105"/>
          <w:sz w:val="21"/>
        </w:rPr>
        <w:t>$5,120.</w:t>
      </w:r>
    </w:p>
    <w:p w14:paraId="6264E777" w14:textId="77777777" w:rsidR="00C274BB" w:rsidRDefault="00C274BB" w:rsidP="00C274BB">
      <w:pPr>
        <w:pStyle w:val="BodyText"/>
        <w:spacing w:before="1" w:line="295" w:lineRule="auto"/>
        <w:ind w:left="215" w:firstLine="2"/>
      </w:pPr>
      <w:r>
        <w:rPr>
          <w:b/>
          <w:i/>
          <w:color w:val="161616"/>
          <w:w w:val="105"/>
          <w:sz w:val="18"/>
        </w:rPr>
        <w:t xml:space="preserve">Federal Register, </w:t>
      </w:r>
      <w:r>
        <w:rPr>
          <w:color w:val="161616"/>
          <w:w w:val="105"/>
        </w:rPr>
        <w:t>May 23, 2017- U.S. Department of Labor- Employment and Training Administration Workforce Innovation and Opportunity Act (WIOA) 2017: Lower Living Standard Income Level (LLSIL)</w:t>
      </w:r>
    </w:p>
    <w:p w14:paraId="6FDB4351" w14:textId="77777777" w:rsidR="00737733" w:rsidRDefault="00737733" w:rsidP="00B2442D">
      <w:pPr>
        <w:spacing w:line="288" w:lineRule="auto"/>
        <w:rPr>
          <w:rFonts w:asciiTheme="minorHAnsi" w:hAnsiTheme="minorHAnsi" w:cstheme="minorHAnsi"/>
          <w:b/>
          <w:i/>
        </w:rPr>
      </w:pPr>
    </w:p>
    <w:tbl>
      <w:tblPr>
        <w:tblW w:w="0" w:type="auto"/>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777"/>
        <w:gridCol w:w="4786"/>
      </w:tblGrid>
      <w:tr w:rsidR="005747AB" w14:paraId="768888D4" w14:textId="77777777" w:rsidTr="005747AB">
        <w:trPr>
          <w:trHeight w:hRule="exact" w:val="796"/>
        </w:trPr>
        <w:tc>
          <w:tcPr>
            <w:tcW w:w="9563" w:type="dxa"/>
            <w:gridSpan w:val="2"/>
          </w:tcPr>
          <w:p w14:paraId="08C7DD7C" w14:textId="77777777" w:rsidR="005747AB" w:rsidRDefault="005747AB" w:rsidP="00025829">
            <w:pPr>
              <w:pStyle w:val="TableParagraph"/>
              <w:spacing w:before="59" w:line="338" w:lineRule="auto"/>
              <w:ind w:left="3581" w:right="1927" w:hanging="1674"/>
              <w:rPr>
                <w:b/>
                <w:sz w:val="18"/>
              </w:rPr>
            </w:pPr>
            <w:r>
              <w:rPr>
                <w:b/>
                <w:color w:val="050505"/>
                <w:w w:val="115"/>
                <w:sz w:val="18"/>
              </w:rPr>
              <w:t>2017 Poverty Guidelines for the 48 Contiguous States and the District of Columbia</w:t>
            </w:r>
          </w:p>
        </w:tc>
      </w:tr>
      <w:tr w:rsidR="005747AB" w14:paraId="136C2B84" w14:textId="77777777" w:rsidTr="005747AB">
        <w:trPr>
          <w:trHeight w:hRule="exact" w:val="345"/>
        </w:trPr>
        <w:tc>
          <w:tcPr>
            <w:tcW w:w="4777" w:type="dxa"/>
          </w:tcPr>
          <w:p w14:paraId="6EF6225A" w14:textId="62E90948" w:rsidR="005747AB" w:rsidRDefault="005747AB" w:rsidP="00025829">
            <w:pPr>
              <w:pStyle w:val="TableParagraph"/>
              <w:spacing w:before="39"/>
              <w:ind w:left="1504" w:right="1514"/>
              <w:jc w:val="center"/>
              <w:rPr>
                <w:b/>
                <w:sz w:val="18"/>
              </w:rPr>
            </w:pPr>
            <w:r>
              <w:rPr>
                <w:b/>
                <w:color w:val="050505"/>
                <w:sz w:val="18"/>
              </w:rPr>
              <w:t>Size of Family'. Unit</w:t>
            </w:r>
          </w:p>
        </w:tc>
        <w:tc>
          <w:tcPr>
            <w:tcW w:w="4786" w:type="dxa"/>
          </w:tcPr>
          <w:p w14:paraId="7390C1EA" w14:textId="632A92B1" w:rsidR="005747AB" w:rsidRDefault="005747AB" w:rsidP="00025829">
            <w:pPr>
              <w:pStyle w:val="TableParagraph"/>
              <w:spacing w:before="35"/>
              <w:ind w:left="1547" w:right="1577"/>
              <w:jc w:val="center"/>
              <w:rPr>
                <w:b/>
                <w:sz w:val="18"/>
              </w:rPr>
            </w:pPr>
            <w:r>
              <w:rPr>
                <w:b/>
                <w:color w:val="050505"/>
                <w:w w:val="105"/>
                <w:sz w:val="18"/>
              </w:rPr>
              <w:t>Poverty Guideline</w:t>
            </w:r>
          </w:p>
        </w:tc>
      </w:tr>
      <w:tr w:rsidR="005747AB" w14:paraId="5171753F" w14:textId="77777777" w:rsidTr="005747AB">
        <w:trPr>
          <w:trHeight w:hRule="exact" w:val="474"/>
        </w:trPr>
        <w:tc>
          <w:tcPr>
            <w:tcW w:w="4777" w:type="dxa"/>
          </w:tcPr>
          <w:p w14:paraId="37CE2405" w14:textId="77777777" w:rsidR="005747AB" w:rsidRDefault="005747AB" w:rsidP="00025829">
            <w:pPr>
              <w:pStyle w:val="TableParagraph"/>
              <w:spacing w:before="39"/>
              <w:ind w:left="0" w:right="4"/>
              <w:jc w:val="center"/>
              <w:rPr>
                <w:b/>
                <w:sz w:val="18"/>
              </w:rPr>
            </w:pPr>
            <w:r>
              <w:rPr>
                <w:b/>
                <w:color w:val="151515"/>
                <w:w w:val="105"/>
                <w:sz w:val="18"/>
              </w:rPr>
              <w:t>1</w:t>
            </w:r>
          </w:p>
        </w:tc>
        <w:tc>
          <w:tcPr>
            <w:tcW w:w="4786" w:type="dxa"/>
          </w:tcPr>
          <w:p w14:paraId="7A48AF13" w14:textId="77777777" w:rsidR="005747AB" w:rsidRDefault="005747AB" w:rsidP="00025829">
            <w:pPr>
              <w:pStyle w:val="TableParagraph"/>
              <w:spacing w:before="35"/>
              <w:ind w:left="1547" w:right="1559"/>
              <w:jc w:val="center"/>
              <w:rPr>
                <w:b/>
                <w:sz w:val="18"/>
              </w:rPr>
            </w:pPr>
            <w:r>
              <w:rPr>
                <w:b/>
                <w:color w:val="050505"/>
                <w:w w:val="110"/>
                <w:sz w:val="18"/>
              </w:rPr>
              <w:t>$12,060</w:t>
            </w:r>
          </w:p>
        </w:tc>
      </w:tr>
      <w:tr w:rsidR="005747AB" w14:paraId="68BF12C1" w14:textId="77777777" w:rsidTr="005747AB">
        <w:trPr>
          <w:trHeight w:hRule="exact" w:val="482"/>
        </w:trPr>
        <w:tc>
          <w:tcPr>
            <w:tcW w:w="4777" w:type="dxa"/>
            <w:tcBorders>
              <w:bottom w:val="single" w:sz="8" w:space="0" w:color="000000"/>
            </w:tcBorders>
          </w:tcPr>
          <w:p w14:paraId="08ABC9C8" w14:textId="77777777" w:rsidR="005747AB" w:rsidRDefault="005747AB" w:rsidP="00025829">
            <w:pPr>
              <w:pStyle w:val="TableParagraph"/>
              <w:spacing w:before="44"/>
              <w:ind w:left="9"/>
              <w:jc w:val="center"/>
              <w:rPr>
                <w:b/>
                <w:sz w:val="18"/>
              </w:rPr>
            </w:pPr>
            <w:r>
              <w:rPr>
                <w:b/>
                <w:color w:val="151515"/>
                <w:w w:val="111"/>
                <w:sz w:val="18"/>
              </w:rPr>
              <w:t>2</w:t>
            </w:r>
          </w:p>
        </w:tc>
        <w:tc>
          <w:tcPr>
            <w:tcW w:w="4786" w:type="dxa"/>
            <w:tcBorders>
              <w:bottom w:val="single" w:sz="8" w:space="0" w:color="000000"/>
            </w:tcBorders>
          </w:tcPr>
          <w:p w14:paraId="4168B39B" w14:textId="77777777" w:rsidR="005747AB" w:rsidRDefault="005747AB" w:rsidP="00025829">
            <w:pPr>
              <w:pStyle w:val="TableParagraph"/>
              <w:spacing w:before="39"/>
              <w:ind w:left="1547" w:right="1557"/>
              <w:jc w:val="center"/>
              <w:rPr>
                <w:b/>
                <w:sz w:val="18"/>
              </w:rPr>
            </w:pPr>
            <w:r>
              <w:rPr>
                <w:b/>
                <w:color w:val="151515"/>
                <w:w w:val="115"/>
                <w:sz w:val="18"/>
              </w:rPr>
              <w:t>16,240</w:t>
            </w:r>
          </w:p>
        </w:tc>
      </w:tr>
      <w:tr w:rsidR="005747AB" w14:paraId="660D5CA1" w14:textId="77777777" w:rsidTr="005747AB">
        <w:trPr>
          <w:trHeight w:hRule="exact" w:val="477"/>
        </w:trPr>
        <w:tc>
          <w:tcPr>
            <w:tcW w:w="4777" w:type="dxa"/>
            <w:tcBorders>
              <w:top w:val="single" w:sz="8" w:space="0" w:color="000000"/>
            </w:tcBorders>
          </w:tcPr>
          <w:p w14:paraId="053F60F7" w14:textId="77777777" w:rsidR="005747AB" w:rsidRDefault="005747AB" w:rsidP="00025829">
            <w:pPr>
              <w:pStyle w:val="TableParagraph"/>
              <w:spacing w:before="39"/>
              <w:ind w:left="6"/>
              <w:jc w:val="center"/>
              <w:rPr>
                <w:b/>
                <w:sz w:val="18"/>
              </w:rPr>
            </w:pPr>
            <w:r>
              <w:rPr>
                <w:b/>
                <w:color w:val="151515"/>
                <w:w w:val="112"/>
                <w:sz w:val="18"/>
              </w:rPr>
              <w:t>3</w:t>
            </w:r>
          </w:p>
        </w:tc>
        <w:tc>
          <w:tcPr>
            <w:tcW w:w="4786" w:type="dxa"/>
            <w:tcBorders>
              <w:top w:val="single" w:sz="8" w:space="0" w:color="000000"/>
            </w:tcBorders>
          </w:tcPr>
          <w:p w14:paraId="6B7797F4" w14:textId="77777777" w:rsidR="005747AB" w:rsidRDefault="005747AB" w:rsidP="00025829">
            <w:pPr>
              <w:pStyle w:val="TableParagraph"/>
              <w:spacing w:before="35"/>
              <w:ind w:left="1547" w:right="1558"/>
              <w:jc w:val="center"/>
              <w:rPr>
                <w:b/>
                <w:sz w:val="18"/>
              </w:rPr>
            </w:pPr>
            <w:r>
              <w:rPr>
                <w:b/>
                <w:color w:val="151515"/>
                <w:w w:val="110"/>
                <w:sz w:val="18"/>
              </w:rPr>
              <w:t>20,420</w:t>
            </w:r>
          </w:p>
        </w:tc>
      </w:tr>
      <w:tr w:rsidR="005747AB" w14:paraId="36357DA9" w14:textId="77777777" w:rsidTr="005747AB">
        <w:trPr>
          <w:trHeight w:hRule="exact" w:val="479"/>
        </w:trPr>
        <w:tc>
          <w:tcPr>
            <w:tcW w:w="4777" w:type="dxa"/>
          </w:tcPr>
          <w:p w14:paraId="29A78965" w14:textId="77777777" w:rsidR="005747AB" w:rsidRDefault="005747AB" w:rsidP="00025829">
            <w:pPr>
              <w:pStyle w:val="TableParagraph"/>
              <w:spacing w:before="39"/>
              <w:ind w:left="1"/>
              <w:jc w:val="center"/>
              <w:rPr>
                <w:b/>
                <w:sz w:val="18"/>
              </w:rPr>
            </w:pPr>
            <w:r>
              <w:rPr>
                <w:b/>
                <w:color w:val="151515"/>
                <w:w w:val="110"/>
                <w:sz w:val="18"/>
              </w:rPr>
              <w:t>4</w:t>
            </w:r>
          </w:p>
        </w:tc>
        <w:tc>
          <w:tcPr>
            <w:tcW w:w="4786" w:type="dxa"/>
          </w:tcPr>
          <w:p w14:paraId="1B4EB9AA" w14:textId="77777777" w:rsidR="005747AB" w:rsidRDefault="005747AB" w:rsidP="00025829">
            <w:pPr>
              <w:pStyle w:val="TableParagraph"/>
              <w:spacing w:before="39"/>
              <w:ind w:left="1547" w:right="1558"/>
              <w:jc w:val="center"/>
              <w:rPr>
                <w:b/>
                <w:sz w:val="18"/>
              </w:rPr>
            </w:pPr>
            <w:r>
              <w:rPr>
                <w:b/>
                <w:color w:val="151515"/>
                <w:w w:val="110"/>
                <w:sz w:val="18"/>
              </w:rPr>
              <w:t>24,600</w:t>
            </w:r>
          </w:p>
        </w:tc>
      </w:tr>
      <w:tr w:rsidR="005747AB" w14:paraId="1885B0FD" w14:textId="77777777" w:rsidTr="005747AB">
        <w:trPr>
          <w:trHeight w:hRule="exact" w:val="479"/>
        </w:trPr>
        <w:tc>
          <w:tcPr>
            <w:tcW w:w="4777" w:type="dxa"/>
          </w:tcPr>
          <w:p w14:paraId="3D227A23" w14:textId="77777777" w:rsidR="005747AB" w:rsidRDefault="005747AB" w:rsidP="00025829">
            <w:pPr>
              <w:pStyle w:val="TableParagraph"/>
              <w:spacing w:before="44"/>
              <w:ind w:left="0" w:right="1"/>
              <w:jc w:val="center"/>
              <w:rPr>
                <w:b/>
                <w:sz w:val="18"/>
              </w:rPr>
            </w:pPr>
            <w:r>
              <w:rPr>
                <w:b/>
                <w:color w:val="151515"/>
                <w:w w:val="107"/>
                <w:sz w:val="18"/>
              </w:rPr>
              <w:t>5</w:t>
            </w:r>
          </w:p>
        </w:tc>
        <w:tc>
          <w:tcPr>
            <w:tcW w:w="4786" w:type="dxa"/>
          </w:tcPr>
          <w:p w14:paraId="6EB45DF7" w14:textId="77777777" w:rsidR="005747AB" w:rsidRDefault="005747AB" w:rsidP="00025829">
            <w:pPr>
              <w:pStyle w:val="TableParagraph"/>
              <w:spacing w:before="39"/>
              <w:ind w:left="1547" w:right="1558"/>
              <w:jc w:val="center"/>
              <w:rPr>
                <w:b/>
                <w:sz w:val="18"/>
              </w:rPr>
            </w:pPr>
            <w:r>
              <w:rPr>
                <w:b/>
                <w:color w:val="151515"/>
                <w:w w:val="110"/>
                <w:sz w:val="18"/>
              </w:rPr>
              <w:t>28,780</w:t>
            </w:r>
          </w:p>
        </w:tc>
      </w:tr>
      <w:tr w:rsidR="005747AB" w14:paraId="043DEC6C" w14:textId="77777777" w:rsidTr="005747AB">
        <w:trPr>
          <w:trHeight w:hRule="exact" w:val="477"/>
        </w:trPr>
        <w:tc>
          <w:tcPr>
            <w:tcW w:w="4777" w:type="dxa"/>
            <w:tcBorders>
              <w:bottom w:val="single" w:sz="8" w:space="0" w:color="000000"/>
            </w:tcBorders>
          </w:tcPr>
          <w:p w14:paraId="5BE38EE2" w14:textId="77777777" w:rsidR="005747AB" w:rsidRDefault="005747AB" w:rsidP="00025829">
            <w:pPr>
              <w:pStyle w:val="TableParagraph"/>
              <w:spacing w:before="39"/>
              <w:ind w:left="12"/>
              <w:jc w:val="center"/>
              <w:rPr>
                <w:b/>
                <w:sz w:val="18"/>
              </w:rPr>
            </w:pPr>
            <w:r>
              <w:rPr>
                <w:b/>
                <w:color w:val="151515"/>
                <w:w w:val="110"/>
                <w:sz w:val="18"/>
              </w:rPr>
              <w:t>6</w:t>
            </w:r>
          </w:p>
        </w:tc>
        <w:tc>
          <w:tcPr>
            <w:tcW w:w="4786" w:type="dxa"/>
            <w:tcBorders>
              <w:bottom w:val="single" w:sz="8" w:space="0" w:color="000000"/>
            </w:tcBorders>
          </w:tcPr>
          <w:p w14:paraId="43ED5E0D" w14:textId="77777777" w:rsidR="005747AB" w:rsidRDefault="005747AB" w:rsidP="00025829">
            <w:pPr>
              <w:pStyle w:val="TableParagraph"/>
              <w:spacing w:before="39"/>
              <w:ind w:left="1547" w:right="1548"/>
              <w:jc w:val="center"/>
              <w:rPr>
                <w:b/>
                <w:sz w:val="18"/>
              </w:rPr>
            </w:pPr>
            <w:r>
              <w:rPr>
                <w:b/>
                <w:color w:val="151515"/>
                <w:w w:val="110"/>
                <w:sz w:val="18"/>
              </w:rPr>
              <w:t>32,960</w:t>
            </w:r>
          </w:p>
        </w:tc>
      </w:tr>
      <w:tr w:rsidR="005747AB" w14:paraId="6F21C7C9" w14:textId="77777777" w:rsidTr="005747AB">
        <w:trPr>
          <w:trHeight w:hRule="exact" w:val="482"/>
        </w:trPr>
        <w:tc>
          <w:tcPr>
            <w:tcW w:w="4777" w:type="dxa"/>
            <w:tcBorders>
              <w:top w:val="single" w:sz="8" w:space="0" w:color="000000"/>
            </w:tcBorders>
          </w:tcPr>
          <w:p w14:paraId="56A39A97" w14:textId="77777777" w:rsidR="005747AB" w:rsidRDefault="005747AB" w:rsidP="00025829">
            <w:pPr>
              <w:pStyle w:val="TableParagraph"/>
              <w:spacing w:before="35"/>
              <w:ind w:left="3"/>
              <w:jc w:val="center"/>
              <w:rPr>
                <w:b/>
                <w:sz w:val="18"/>
              </w:rPr>
            </w:pPr>
            <w:r>
              <w:rPr>
                <w:b/>
                <w:color w:val="151515"/>
                <w:w w:val="111"/>
                <w:sz w:val="18"/>
              </w:rPr>
              <w:t>7</w:t>
            </w:r>
          </w:p>
        </w:tc>
        <w:tc>
          <w:tcPr>
            <w:tcW w:w="4786" w:type="dxa"/>
            <w:tcBorders>
              <w:top w:val="single" w:sz="8" w:space="0" w:color="000000"/>
            </w:tcBorders>
          </w:tcPr>
          <w:p w14:paraId="5D6E64E7" w14:textId="77777777" w:rsidR="005747AB" w:rsidRDefault="005747AB" w:rsidP="00025829">
            <w:pPr>
              <w:pStyle w:val="TableParagraph"/>
              <w:spacing w:before="35"/>
              <w:ind w:left="1547" w:right="1548"/>
              <w:jc w:val="center"/>
              <w:rPr>
                <w:b/>
                <w:sz w:val="18"/>
              </w:rPr>
            </w:pPr>
            <w:r>
              <w:rPr>
                <w:b/>
                <w:color w:val="151515"/>
                <w:w w:val="110"/>
                <w:sz w:val="18"/>
              </w:rPr>
              <w:t>37,140</w:t>
            </w:r>
          </w:p>
        </w:tc>
      </w:tr>
      <w:tr w:rsidR="005747AB" w14:paraId="43220B97" w14:textId="77777777" w:rsidTr="005747AB">
        <w:trPr>
          <w:trHeight w:hRule="exact" w:val="474"/>
        </w:trPr>
        <w:tc>
          <w:tcPr>
            <w:tcW w:w="4777" w:type="dxa"/>
          </w:tcPr>
          <w:p w14:paraId="7DFA4A00" w14:textId="77777777" w:rsidR="005747AB" w:rsidRDefault="005747AB" w:rsidP="00025829">
            <w:pPr>
              <w:pStyle w:val="TableParagraph"/>
              <w:spacing w:before="39"/>
              <w:ind w:left="3"/>
              <w:jc w:val="center"/>
              <w:rPr>
                <w:b/>
                <w:sz w:val="18"/>
              </w:rPr>
            </w:pPr>
            <w:r>
              <w:rPr>
                <w:b/>
                <w:color w:val="151515"/>
                <w:w w:val="111"/>
                <w:sz w:val="18"/>
              </w:rPr>
              <w:t>8</w:t>
            </w:r>
          </w:p>
        </w:tc>
        <w:tc>
          <w:tcPr>
            <w:tcW w:w="4786" w:type="dxa"/>
          </w:tcPr>
          <w:p w14:paraId="05F5D611" w14:textId="77777777" w:rsidR="005747AB" w:rsidRDefault="005747AB" w:rsidP="00025829">
            <w:pPr>
              <w:pStyle w:val="TableParagraph"/>
              <w:spacing w:before="35"/>
              <w:ind w:left="1547" w:right="1550"/>
              <w:jc w:val="center"/>
              <w:rPr>
                <w:b/>
                <w:sz w:val="18"/>
              </w:rPr>
            </w:pPr>
            <w:r>
              <w:rPr>
                <w:b/>
                <w:color w:val="151515"/>
                <w:w w:val="110"/>
                <w:sz w:val="18"/>
              </w:rPr>
              <w:t>41,320</w:t>
            </w:r>
          </w:p>
        </w:tc>
      </w:tr>
    </w:tbl>
    <w:p w14:paraId="0C23694A" w14:textId="77777777" w:rsidR="005747AB" w:rsidRDefault="005747AB" w:rsidP="005747AB">
      <w:pPr>
        <w:pStyle w:val="BodyText"/>
        <w:spacing w:before="30"/>
        <w:ind w:left="230"/>
      </w:pPr>
      <w:r>
        <w:rPr>
          <w:color w:val="151515"/>
          <w:w w:val="110"/>
        </w:rPr>
        <w:t xml:space="preserve">For family units with more than </w:t>
      </w:r>
      <w:r>
        <w:rPr>
          <w:b/>
          <w:color w:val="151515"/>
          <w:w w:val="110"/>
          <w:sz w:val="18"/>
        </w:rPr>
        <w:t xml:space="preserve">8 </w:t>
      </w:r>
      <w:r>
        <w:rPr>
          <w:color w:val="151515"/>
          <w:w w:val="110"/>
        </w:rPr>
        <w:t xml:space="preserve">members, add </w:t>
      </w:r>
      <w:r>
        <w:rPr>
          <w:b/>
          <w:color w:val="151515"/>
          <w:w w:val="110"/>
          <w:sz w:val="18"/>
        </w:rPr>
        <w:t xml:space="preserve">$4,180 </w:t>
      </w:r>
      <w:r>
        <w:rPr>
          <w:color w:val="151515"/>
          <w:w w:val="110"/>
        </w:rPr>
        <w:t>for each additional member.</w:t>
      </w:r>
    </w:p>
    <w:p w14:paraId="777E3737" w14:textId="77777777" w:rsidR="00E33537" w:rsidRDefault="00E33537" w:rsidP="005747AB">
      <w:pPr>
        <w:pStyle w:val="BodyText"/>
        <w:spacing w:line="300" w:lineRule="auto"/>
        <w:ind w:left="230" w:right="76" w:hanging="2"/>
        <w:rPr>
          <w:b/>
          <w:i/>
          <w:color w:val="151515"/>
          <w:w w:val="105"/>
          <w:sz w:val="18"/>
        </w:rPr>
      </w:pPr>
    </w:p>
    <w:p w14:paraId="7E18ED93" w14:textId="77777777" w:rsidR="005747AB" w:rsidRDefault="005747AB" w:rsidP="005747AB">
      <w:pPr>
        <w:pStyle w:val="BodyText"/>
        <w:spacing w:line="300" w:lineRule="auto"/>
        <w:ind w:left="230" w:right="76" w:hanging="2"/>
        <w:rPr>
          <w:color w:val="151515"/>
          <w:w w:val="105"/>
        </w:rPr>
      </w:pPr>
      <w:r>
        <w:rPr>
          <w:b/>
          <w:i/>
          <w:color w:val="151515"/>
          <w:w w:val="105"/>
          <w:sz w:val="18"/>
        </w:rPr>
        <w:t xml:space="preserve">Federal Register, </w:t>
      </w:r>
      <w:r>
        <w:rPr>
          <w:color w:val="151515"/>
          <w:w w:val="105"/>
        </w:rPr>
        <w:t>January 31, 2017 - Department of Health and Human Services, Annual Update of the HHS Poverty Guidelines</w:t>
      </w:r>
    </w:p>
    <w:p w14:paraId="442B6445" w14:textId="77777777" w:rsidR="00E33537" w:rsidRDefault="00E33537" w:rsidP="005747AB">
      <w:pPr>
        <w:pStyle w:val="BodyText"/>
        <w:spacing w:line="300" w:lineRule="auto"/>
        <w:ind w:left="230" w:right="76" w:hanging="2"/>
      </w:pPr>
    </w:p>
    <w:p w14:paraId="4299C3F0" w14:textId="033F24D8" w:rsidR="00041247" w:rsidRDefault="00FE1205" w:rsidP="00041247">
      <w:pPr>
        <w:spacing w:line="288" w:lineRule="auto"/>
        <w:rPr>
          <w:rFonts w:asciiTheme="minorHAnsi" w:hAnsiTheme="minorHAnsi" w:cstheme="minorHAnsi"/>
          <w:b/>
        </w:rPr>
      </w:pPr>
      <w:r w:rsidRPr="00F35141">
        <w:rPr>
          <w:rFonts w:asciiTheme="minorHAnsi" w:hAnsiTheme="minorHAnsi" w:cstheme="minorHAnsi"/>
        </w:rPr>
        <w:t>The following table is</w:t>
      </w:r>
      <w:r w:rsidR="00041247" w:rsidRPr="00F35141">
        <w:rPr>
          <w:rFonts w:asciiTheme="minorHAnsi" w:hAnsiTheme="minorHAnsi" w:cstheme="minorHAnsi"/>
        </w:rPr>
        <w:t xml:space="preserve"> used to determine the minimum level for establishing self-sufficiency criteria</w:t>
      </w:r>
      <w:r>
        <w:rPr>
          <w:rFonts w:asciiTheme="minorHAnsi" w:hAnsiTheme="minorHAnsi" w:cstheme="minorHAnsi"/>
        </w:rPr>
        <w:t xml:space="preserve"> in </w:t>
      </w:r>
      <w:r w:rsidR="00895340">
        <w:rPr>
          <w:rFonts w:asciiTheme="minorHAnsi" w:hAnsiTheme="minorHAnsi" w:cstheme="minorHAnsi"/>
        </w:rPr>
        <w:t xml:space="preserve">Central </w:t>
      </w:r>
      <w:r>
        <w:rPr>
          <w:rFonts w:asciiTheme="minorHAnsi" w:hAnsiTheme="minorHAnsi" w:cstheme="minorHAnsi"/>
        </w:rPr>
        <w:t>Region.</w:t>
      </w:r>
      <w:r w:rsidR="00041247" w:rsidRPr="00F35141">
        <w:rPr>
          <w:rFonts w:asciiTheme="minorHAnsi" w:hAnsiTheme="minorHAnsi" w:cstheme="minorHAnsi"/>
        </w:rPr>
        <w:t xml:space="preserve">  </w:t>
      </w:r>
      <w:r w:rsidR="00041247" w:rsidRPr="00F35141">
        <w:rPr>
          <w:rFonts w:asciiTheme="minorHAnsi" w:hAnsiTheme="minorHAnsi" w:cstheme="minorHAnsi"/>
          <w:b/>
        </w:rPr>
        <w:t xml:space="preserve">They are not to be used in determining low income for youth or adults. </w:t>
      </w:r>
    </w:p>
    <w:p w14:paraId="2CAC79AE" w14:textId="77777777" w:rsidR="00E33537" w:rsidRDefault="00E33537" w:rsidP="00E33537">
      <w:pPr>
        <w:pStyle w:val="BodyText"/>
        <w:rPr>
          <w:sz w:val="1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4"/>
        <w:gridCol w:w="4435"/>
      </w:tblGrid>
      <w:tr w:rsidR="00E33537" w14:paraId="6B274C2C" w14:textId="77777777" w:rsidTr="00B2442D">
        <w:trPr>
          <w:trHeight w:hRule="exact" w:val="1518"/>
        </w:trPr>
        <w:tc>
          <w:tcPr>
            <w:tcW w:w="8849" w:type="dxa"/>
            <w:gridSpan w:val="2"/>
          </w:tcPr>
          <w:p w14:paraId="34511F7E" w14:textId="77777777" w:rsidR="00E33537" w:rsidRDefault="00E33537" w:rsidP="00B2442D">
            <w:pPr>
              <w:pStyle w:val="TableParagraph"/>
              <w:spacing w:before="30" w:line="511" w:lineRule="auto"/>
              <w:ind w:left="2261" w:right="2238" w:firstLine="248"/>
              <w:jc w:val="center"/>
              <w:rPr>
                <w:b/>
                <w:color w:val="111111"/>
                <w:sz w:val="19"/>
              </w:rPr>
            </w:pPr>
            <w:r>
              <w:rPr>
                <w:b/>
                <w:color w:val="111111"/>
                <w:sz w:val="19"/>
              </w:rPr>
              <w:t>100% Lower Living Standard Income Level Metro</w:t>
            </w:r>
            <w:r>
              <w:rPr>
                <w:b/>
                <w:color w:val="111111"/>
                <w:spacing w:val="-24"/>
                <w:sz w:val="19"/>
              </w:rPr>
              <w:t xml:space="preserve"> </w:t>
            </w:r>
            <w:r>
              <w:rPr>
                <w:b/>
                <w:color w:val="111111"/>
                <w:sz w:val="19"/>
              </w:rPr>
              <w:t>Level</w:t>
            </w:r>
            <w:r>
              <w:rPr>
                <w:b/>
                <w:color w:val="111111"/>
                <w:spacing w:val="-30"/>
                <w:sz w:val="19"/>
              </w:rPr>
              <w:t xml:space="preserve"> </w:t>
            </w:r>
            <w:r>
              <w:rPr>
                <w:color w:val="111111"/>
                <w:sz w:val="19"/>
              </w:rPr>
              <w:t>-</w:t>
            </w:r>
            <w:r>
              <w:rPr>
                <w:color w:val="111111"/>
                <w:spacing w:val="-5"/>
                <w:sz w:val="19"/>
              </w:rPr>
              <w:t xml:space="preserve"> </w:t>
            </w:r>
            <w:r>
              <w:rPr>
                <w:b/>
                <w:i/>
                <w:color w:val="111111"/>
                <w:sz w:val="18"/>
              </w:rPr>
              <w:t>SOUTH</w:t>
            </w:r>
            <w:r>
              <w:rPr>
                <w:b/>
                <w:i/>
                <w:color w:val="111111"/>
                <w:spacing w:val="-20"/>
                <w:sz w:val="18"/>
              </w:rPr>
              <w:t xml:space="preserve"> </w:t>
            </w:r>
            <w:r>
              <w:rPr>
                <w:b/>
                <w:color w:val="111111"/>
                <w:sz w:val="19"/>
              </w:rPr>
              <w:t>Region</w:t>
            </w:r>
            <w:r>
              <w:rPr>
                <w:b/>
                <w:color w:val="111111"/>
                <w:spacing w:val="-23"/>
                <w:sz w:val="19"/>
              </w:rPr>
              <w:t xml:space="preserve"> </w:t>
            </w:r>
            <w:r>
              <w:rPr>
                <w:b/>
                <w:color w:val="111111"/>
                <w:sz w:val="19"/>
              </w:rPr>
              <w:t>SELF-SUFFICIENCY</w:t>
            </w:r>
          </w:p>
          <w:p w14:paraId="6FC4C786" w14:textId="25B234C8" w:rsidR="00E33537" w:rsidRDefault="00E33537" w:rsidP="00B2442D">
            <w:pPr>
              <w:pStyle w:val="TableParagraph"/>
              <w:spacing w:before="30" w:line="511" w:lineRule="auto"/>
              <w:ind w:left="2261" w:right="2238" w:firstLine="248"/>
              <w:jc w:val="center"/>
              <w:rPr>
                <w:b/>
                <w:sz w:val="19"/>
              </w:rPr>
            </w:pPr>
            <w:r>
              <w:rPr>
                <w:b/>
                <w:color w:val="111111"/>
                <w:sz w:val="19"/>
              </w:rPr>
              <w:t>(</w:t>
            </w:r>
            <w:r w:rsidR="00895340">
              <w:rPr>
                <w:b/>
                <w:color w:val="111111"/>
                <w:sz w:val="19"/>
              </w:rPr>
              <w:t xml:space="preserve">Central </w:t>
            </w:r>
            <w:r>
              <w:rPr>
                <w:b/>
                <w:color w:val="111111"/>
                <w:sz w:val="19"/>
              </w:rPr>
              <w:t>Region)</w:t>
            </w:r>
          </w:p>
        </w:tc>
      </w:tr>
      <w:tr w:rsidR="00E33537" w14:paraId="6CBD258E" w14:textId="77777777" w:rsidTr="00025829">
        <w:trPr>
          <w:trHeight w:hRule="exact" w:val="482"/>
        </w:trPr>
        <w:tc>
          <w:tcPr>
            <w:tcW w:w="4414" w:type="dxa"/>
            <w:tcBorders>
              <w:right w:val="single" w:sz="8" w:space="0" w:color="000000"/>
            </w:tcBorders>
          </w:tcPr>
          <w:p w14:paraId="5DA234C9" w14:textId="3AF47C64" w:rsidR="00E33537" w:rsidRDefault="009F75D6" w:rsidP="00025829">
            <w:pPr>
              <w:pStyle w:val="TableParagraph"/>
              <w:spacing w:before="25"/>
              <w:ind w:left="1347" w:right="1347"/>
              <w:jc w:val="center"/>
              <w:rPr>
                <w:b/>
                <w:sz w:val="19"/>
              </w:rPr>
            </w:pPr>
            <w:r>
              <w:rPr>
                <w:b/>
                <w:color w:val="111111"/>
                <w:w w:val="105"/>
                <w:sz w:val="19"/>
              </w:rPr>
              <w:t xml:space="preserve">Size of Family </w:t>
            </w:r>
            <w:r w:rsidR="00E33537">
              <w:rPr>
                <w:b/>
                <w:color w:val="111111"/>
                <w:w w:val="105"/>
                <w:sz w:val="19"/>
              </w:rPr>
              <w:t>Unit</w:t>
            </w:r>
          </w:p>
        </w:tc>
        <w:tc>
          <w:tcPr>
            <w:tcW w:w="4435" w:type="dxa"/>
            <w:tcBorders>
              <w:left w:val="single" w:sz="8" w:space="0" w:color="000000"/>
            </w:tcBorders>
          </w:tcPr>
          <w:p w14:paraId="32CFE627" w14:textId="77777777" w:rsidR="00E33537" w:rsidRDefault="00E33537" w:rsidP="00025829">
            <w:pPr>
              <w:pStyle w:val="TableParagraph"/>
              <w:spacing w:before="30"/>
              <w:ind w:left="1682" w:right="1682"/>
              <w:jc w:val="center"/>
              <w:rPr>
                <w:b/>
                <w:sz w:val="19"/>
              </w:rPr>
            </w:pPr>
            <w:r>
              <w:rPr>
                <w:b/>
                <w:color w:val="111111"/>
                <w:w w:val="95"/>
                <w:sz w:val="19"/>
              </w:rPr>
              <w:t>100% LLSIL</w:t>
            </w:r>
          </w:p>
        </w:tc>
      </w:tr>
      <w:tr w:rsidR="00E33537" w14:paraId="1D4F53F0" w14:textId="77777777" w:rsidTr="00025829">
        <w:trPr>
          <w:trHeight w:hRule="exact" w:val="478"/>
        </w:trPr>
        <w:tc>
          <w:tcPr>
            <w:tcW w:w="4414" w:type="dxa"/>
            <w:tcBorders>
              <w:right w:val="single" w:sz="8" w:space="0" w:color="000000"/>
            </w:tcBorders>
          </w:tcPr>
          <w:p w14:paraId="2F56AC0D" w14:textId="77777777" w:rsidR="00E33537" w:rsidRDefault="00E33537" w:rsidP="00025829">
            <w:pPr>
              <w:pStyle w:val="TableParagraph"/>
              <w:spacing w:before="10"/>
              <w:ind w:left="0" w:right="36"/>
              <w:jc w:val="center"/>
              <w:rPr>
                <w:rFonts w:ascii="Times New Roman"/>
                <w:sz w:val="21"/>
              </w:rPr>
            </w:pPr>
            <w:r>
              <w:rPr>
                <w:rFonts w:ascii="Times New Roman"/>
                <w:color w:val="111111"/>
                <w:w w:val="83"/>
                <w:sz w:val="21"/>
              </w:rPr>
              <w:t>1</w:t>
            </w:r>
          </w:p>
        </w:tc>
        <w:tc>
          <w:tcPr>
            <w:tcW w:w="4435" w:type="dxa"/>
            <w:tcBorders>
              <w:left w:val="single" w:sz="8" w:space="0" w:color="000000"/>
            </w:tcBorders>
          </w:tcPr>
          <w:p w14:paraId="2B13451E" w14:textId="77777777" w:rsidR="00E33537" w:rsidRDefault="00E33537" w:rsidP="00025829">
            <w:pPr>
              <w:pStyle w:val="TableParagraph"/>
              <w:spacing w:before="33"/>
              <w:ind w:left="1682" w:right="1681"/>
              <w:jc w:val="center"/>
              <w:rPr>
                <w:b/>
                <w:sz w:val="19"/>
              </w:rPr>
            </w:pPr>
            <w:r>
              <w:rPr>
                <w:b/>
                <w:color w:val="111111"/>
                <w:w w:val="105"/>
                <w:sz w:val="19"/>
              </w:rPr>
              <w:t>$13,166</w:t>
            </w:r>
          </w:p>
        </w:tc>
      </w:tr>
      <w:tr w:rsidR="00E33537" w14:paraId="365DC94A" w14:textId="77777777" w:rsidTr="00025829">
        <w:trPr>
          <w:trHeight w:hRule="exact" w:val="480"/>
        </w:trPr>
        <w:tc>
          <w:tcPr>
            <w:tcW w:w="4414" w:type="dxa"/>
            <w:tcBorders>
              <w:right w:val="single" w:sz="8" w:space="0" w:color="000000"/>
            </w:tcBorders>
          </w:tcPr>
          <w:p w14:paraId="0753CEF8" w14:textId="77777777" w:rsidR="00E33537" w:rsidRDefault="00E33537" w:rsidP="00025829">
            <w:pPr>
              <w:pStyle w:val="TableParagraph"/>
              <w:spacing w:before="25"/>
              <w:ind w:left="22"/>
              <w:jc w:val="center"/>
              <w:rPr>
                <w:b/>
                <w:sz w:val="19"/>
              </w:rPr>
            </w:pPr>
            <w:r>
              <w:rPr>
                <w:b/>
                <w:color w:val="111111"/>
                <w:w w:val="102"/>
                <w:sz w:val="19"/>
              </w:rPr>
              <w:t>2</w:t>
            </w:r>
          </w:p>
        </w:tc>
        <w:tc>
          <w:tcPr>
            <w:tcW w:w="4435" w:type="dxa"/>
            <w:tcBorders>
              <w:left w:val="single" w:sz="8" w:space="0" w:color="000000"/>
            </w:tcBorders>
          </w:tcPr>
          <w:p w14:paraId="3537BD16" w14:textId="77777777" w:rsidR="00E33537" w:rsidRDefault="00E33537" w:rsidP="00025829">
            <w:pPr>
              <w:pStyle w:val="TableParagraph"/>
              <w:spacing w:before="30"/>
              <w:ind w:left="1682" w:right="1680"/>
              <w:jc w:val="center"/>
              <w:rPr>
                <w:b/>
                <w:sz w:val="19"/>
              </w:rPr>
            </w:pPr>
            <w:r>
              <w:rPr>
                <w:b/>
                <w:color w:val="111111"/>
                <w:w w:val="105"/>
                <w:sz w:val="19"/>
              </w:rPr>
              <w:t>21,573</w:t>
            </w:r>
          </w:p>
        </w:tc>
      </w:tr>
      <w:tr w:rsidR="00E33537" w14:paraId="31187EC2" w14:textId="77777777" w:rsidTr="00025829">
        <w:trPr>
          <w:trHeight w:hRule="exact" w:val="480"/>
        </w:trPr>
        <w:tc>
          <w:tcPr>
            <w:tcW w:w="4414" w:type="dxa"/>
            <w:tcBorders>
              <w:right w:val="single" w:sz="8" w:space="0" w:color="000000"/>
            </w:tcBorders>
          </w:tcPr>
          <w:p w14:paraId="46FFDC9F" w14:textId="77777777" w:rsidR="00E33537" w:rsidRDefault="00E33537" w:rsidP="00025829">
            <w:pPr>
              <w:pStyle w:val="TableParagraph"/>
              <w:spacing w:before="30"/>
              <w:ind w:left="15"/>
              <w:jc w:val="center"/>
              <w:rPr>
                <w:b/>
                <w:sz w:val="19"/>
              </w:rPr>
            </w:pPr>
            <w:r>
              <w:rPr>
                <w:b/>
                <w:color w:val="111111"/>
                <w:w w:val="109"/>
                <w:sz w:val="19"/>
              </w:rPr>
              <w:t>3</w:t>
            </w:r>
          </w:p>
        </w:tc>
        <w:tc>
          <w:tcPr>
            <w:tcW w:w="4435" w:type="dxa"/>
            <w:tcBorders>
              <w:left w:val="single" w:sz="8" w:space="0" w:color="000000"/>
            </w:tcBorders>
          </w:tcPr>
          <w:p w14:paraId="60BF9734" w14:textId="77777777" w:rsidR="00E33537" w:rsidRDefault="00E33537" w:rsidP="00025829">
            <w:pPr>
              <w:pStyle w:val="TableParagraph"/>
              <w:spacing w:before="35"/>
              <w:ind w:left="1682" w:right="1680"/>
              <w:jc w:val="center"/>
              <w:rPr>
                <w:b/>
                <w:sz w:val="19"/>
              </w:rPr>
            </w:pPr>
            <w:r>
              <w:rPr>
                <w:b/>
                <w:color w:val="111111"/>
                <w:w w:val="105"/>
                <w:sz w:val="19"/>
              </w:rPr>
              <w:t>29,609</w:t>
            </w:r>
          </w:p>
        </w:tc>
      </w:tr>
      <w:tr w:rsidR="00E33537" w14:paraId="4FB2BF9E" w14:textId="77777777" w:rsidTr="00025829">
        <w:trPr>
          <w:trHeight w:hRule="exact" w:val="478"/>
        </w:trPr>
        <w:tc>
          <w:tcPr>
            <w:tcW w:w="4414" w:type="dxa"/>
            <w:tcBorders>
              <w:right w:val="single" w:sz="8" w:space="0" w:color="000000"/>
            </w:tcBorders>
          </w:tcPr>
          <w:p w14:paraId="13C39C4A" w14:textId="77777777" w:rsidR="00E33537" w:rsidRDefault="00E33537" w:rsidP="00025829">
            <w:pPr>
              <w:pStyle w:val="TableParagraph"/>
              <w:spacing w:before="25"/>
              <w:ind w:left="7"/>
              <w:jc w:val="center"/>
              <w:rPr>
                <w:b/>
                <w:sz w:val="19"/>
              </w:rPr>
            </w:pPr>
            <w:r>
              <w:rPr>
                <w:b/>
                <w:color w:val="111111"/>
                <w:w w:val="104"/>
                <w:sz w:val="19"/>
              </w:rPr>
              <w:t>4</w:t>
            </w:r>
          </w:p>
        </w:tc>
        <w:tc>
          <w:tcPr>
            <w:tcW w:w="4435" w:type="dxa"/>
            <w:tcBorders>
              <w:left w:val="single" w:sz="8" w:space="0" w:color="000000"/>
            </w:tcBorders>
          </w:tcPr>
          <w:p w14:paraId="524F851E" w14:textId="77777777" w:rsidR="00E33537" w:rsidRDefault="00E33537" w:rsidP="00025829">
            <w:pPr>
              <w:pStyle w:val="TableParagraph"/>
              <w:spacing w:before="30"/>
              <w:ind w:left="1677" w:right="1682"/>
              <w:jc w:val="center"/>
              <w:rPr>
                <w:b/>
                <w:sz w:val="19"/>
              </w:rPr>
            </w:pPr>
            <w:r>
              <w:rPr>
                <w:b/>
                <w:color w:val="111111"/>
                <w:w w:val="105"/>
                <w:sz w:val="19"/>
              </w:rPr>
              <w:t>36,555</w:t>
            </w:r>
          </w:p>
        </w:tc>
      </w:tr>
      <w:tr w:rsidR="00E33537" w14:paraId="7F18AF7F" w14:textId="77777777" w:rsidTr="00025829">
        <w:trPr>
          <w:trHeight w:hRule="exact" w:val="480"/>
        </w:trPr>
        <w:tc>
          <w:tcPr>
            <w:tcW w:w="4414" w:type="dxa"/>
            <w:tcBorders>
              <w:right w:val="single" w:sz="8" w:space="0" w:color="000000"/>
            </w:tcBorders>
          </w:tcPr>
          <w:p w14:paraId="176DE392" w14:textId="77777777" w:rsidR="00E33537" w:rsidRDefault="00E33537" w:rsidP="00025829">
            <w:pPr>
              <w:pStyle w:val="TableParagraph"/>
              <w:spacing w:before="28"/>
              <w:ind w:left="5"/>
              <w:jc w:val="center"/>
              <w:rPr>
                <w:b/>
                <w:sz w:val="19"/>
              </w:rPr>
            </w:pPr>
            <w:r>
              <w:rPr>
                <w:b/>
                <w:color w:val="111111"/>
                <w:w w:val="102"/>
                <w:sz w:val="19"/>
              </w:rPr>
              <w:t>5</w:t>
            </w:r>
          </w:p>
        </w:tc>
        <w:tc>
          <w:tcPr>
            <w:tcW w:w="4435" w:type="dxa"/>
            <w:tcBorders>
              <w:left w:val="single" w:sz="8" w:space="0" w:color="000000"/>
            </w:tcBorders>
          </w:tcPr>
          <w:p w14:paraId="6DC02357" w14:textId="77777777" w:rsidR="00E33537" w:rsidRDefault="00E33537" w:rsidP="00025829">
            <w:pPr>
              <w:pStyle w:val="TableParagraph"/>
              <w:spacing w:before="33"/>
              <w:ind w:left="1682" w:right="1681"/>
              <w:jc w:val="center"/>
              <w:rPr>
                <w:b/>
                <w:sz w:val="19"/>
              </w:rPr>
            </w:pPr>
            <w:r>
              <w:rPr>
                <w:b/>
                <w:color w:val="111111"/>
                <w:w w:val="105"/>
                <w:sz w:val="19"/>
              </w:rPr>
              <w:t>43,144</w:t>
            </w:r>
          </w:p>
        </w:tc>
      </w:tr>
      <w:tr w:rsidR="00E33537" w14:paraId="4D0E38C0" w14:textId="77777777" w:rsidTr="00025829">
        <w:trPr>
          <w:trHeight w:hRule="exact" w:val="478"/>
        </w:trPr>
        <w:tc>
          <w:tcPr>
            <w:tcW w:w="4414" w:type="dxa"/>
            <w:tcBorders>
              <w:right w:val="single" w:sz="8" w:space="0" w:color="000000"/>
            </w:tcBorders>
          </w:tcPr>
          <w:p w14:paraId="711194BE" w14:textId="77777777" w:rsidR="00E33537" w:rsidRDefault="00E33537" w:rsidP="00025829">
            <w:pPr>
              <w:pStyle w:val="TableParagraph"/>
              <w:spacing w:before="28"/>
              <w:ind w:left="12"/>
              <w:jc w:val="center"/>
              <w:rPr>
                <w:b/>
                <w:sz w:val="19"/>
              </w:rPr>
            </w:pPr>
            <w:r>
              <w:rPr>
                <w:b/>
                <w:color w:val="111111"/>
                <w:w w:val="108"/>
                <w:sz w:val="19"/>
              </w:rPr>
              <w:t>6</w:t>
            </w:r>
          </w:p>
        </w:tc>
        <w:tc>
          <w:tcPr>
            <w:tcW w:w="4435" w:type="dxa"/>
            <w:tcBorders>
              <w:left w:val="single" w:sz="8" w:space="0" w:color="000000"/>
            </w:tcBorders>
          </w:tcPr>
          <w:p w14:paraId="4A8435BC" w14:textId="77777777" w:rsidR="00E33537" w:rsidRDefault="00E33537" w:rsidP="00025829">
            <w:pPr>
              <w:pStyle w:val="TableParagraph"/>
              <w:spacing w:before="33"/>
              <w:ind w:left="1680" w:right="1682"/>
              <w:jc w:val="center"/>
              <w:rPr>
                <w:b/>
                <w:sz w:val="19"/>
              </w:rPr>
            </w:pPr>
            <w:r>
              <w:rPr>
                <w:b/>
                <w:color w:val="111111"/>
                <w:w w:val="105"/>
                <w:sz w:val="19"/>
              </w:rPr>
              <w:t>50,459</w:t>
            </w:r>
          </w:p>
        </w:tc>
      </w:tr>
    </w:tbl>
    <w:p w14:paraId="35A3F438" w14:textId="77777777" w:rsidR="00E33537" w:rsidRDefault="00E33537" w:rsidP="00E33537">
      <w:pPr>
        <w:spacing w:before="25"/>
        <w:ind w:left="234"/>
        <w:rPr>
          <w:b/>
          <w:color w:val="111111"/>
          <w:w w:val="105"/>
          <w:sz w:val="19"/>
        </w:rPr>
      </w:pPr>
      <w:r>
        <w:rPr>
          <w:color w:val="111111"/>
          <w:w w:val="105"/>
          <w:sz w:val="19"/>
        </w:rPr>
        <w:t xml:space="preserve">For each family member above </w:t>
      </w:r>
      <w:r>
        <w:rPr>
          <w:b/>
          <w:color w:val="111111"/>
          <w:w w:val="105"/>
          <w:sz w:val="19"/>
        </w:rPr>
        <w:t xml:space="preserve">6 </w:t>
      </w:r>
      <w:r>
        <w:rPr>
          <w:color w:val="111111"/>
          <w:w w:val="105"/>
          <w:sz w:val="19"/>
        </w:rPr>
        <w:t xml:space="preserve">add </w:t>
      </w:r>
      <w:r>
        <w:rPr>
          <w:b/>
          <w:color w:val="111111"/>
          <w:w w:val="105"/>
          <w:sz w:val="19"/>
        </w:rPr>
        <w:t>$7,315.</w:t>
      </w:r>
    </w:p>
    <w:p w14:paraId="40193AFB" w14:textId="77777777" w:rsidR="00E33537" w:rsidRDefault="00E33537" w:rsidP="00B2442D">
      <w:pPr>
        <w:pStyle w:val="BodyText"/>
        <w:spacing w:before="1" w:line="295" w:lineRule="auto"/>
        <w:ind w:left="234" w:hanging="2"/>
        <w:rPr>
          <w:b/>
          <w:i/>
          <w:color w:val="111111"/>
          <w:w w:val="105"/>
          <w:sz w:val="18"/>
        </w:rPr>
      </w:pPr>
    </w:p>
    <w:p w14:paraId="41C1154F" w14:textId="45748DFF" w:rsidR="00B91B2B" w:rsidRDefault="00E33537" w:rsidP="00B91B2B">
      <w:pPr>
        <w:spacing w:line="288" w:lineRule="auto"/>
        <w:jc w:val="center"/>
        <w:rPr>
          <w:rFonts w:asciiTheme="minorHAnsi" w:hAnsiTheme="minorHAnsi" w:cstheme="minorHAnsi"/>
          <w:b/>
          <w:i/>
        </w:rPr>
      </w:pPr>
      <w:r>
        <w:rPr>
          <w:b/>
          <w:i/>
          <w:color w:val="111111"/>
          <w:w w:val="105"/>
          <w:sz w:val="18"/>
        </w:rPr>
        <w:lastRenderedPageBreak/>
        <w:t xml:space="preserve">Federal Register, </w:t>
      </w:r>
      <w:r>
        <w:rPr>
          <w:color w:val="111111"/>
          <w:w w:val="105"/>
        </w:rPr>
        <w:t>May 23, 2017 - U.S. Department of Labor- Employment and Training Administration Workforce Innovation and Opportunity Act (WIOA) 2017: Lower Living Standard Income Level (LLSIL)</w:t>
      </w:r>
    </w:p>
    <w:p w14:paraId="04BAEF18" w14:textId="77777777" w:rsidR="00403D6C" w:rsidRPr="00922BAD" w:rsidRDefault="00403D6C" w:rsidP="00922BAD">
      <w:pPr>
        <w:spacing w:line="288" w:lineRule="auto"/>
        <w:rPr>
          <w:rFonts w:asciiTheme="minorHAnsi" w:hAnsiTheme="minorHAnsi" w:cstheme="minorHAnsi"/>
        </w:rPr>
      </w:pPr>
    </w:p>
    <w:sectPr w:rsidR="00403D6C" w:rsidRPr="00922BAD" w:rsidSect="00127A9F">
      <w:footerReference w:type="default" r:id="rId9"/>
      <w:headerReference w:type="firs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FFE1" w14:textId="77777777" w:rsidR="005C45F4" w:rsidRDefault="005C45F4" w:rsidP="004546C8">
      <w:r>
        <w:separator/>
      </w:r>
    </w:p>
  </w:endnote>
  <w:endnote w:type="continuationSeparator" w:id="0">
    <w:p w14:paraId="28ECF719" w14:textId="77777777" w:rsidR="005C45F4" w:rsidRDefault="005C45F4" w:rsidP="0045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595603"/>
      <w:docPartObj>
        <w:docPartGallery w:val="Page Numbers (Bottom of Page)"/>
        <w:docPartUnique/>
      </w:docPartObj>
    </w:sdtPr>
    <w:sdtEndPr>
      <w:rPr>
        <w:color w:val="808080" w:themeColor="background1" w:themeShade="80"/>
        <w:spacing w:val="60"/>
      </w:rPr>
    </w:sdtEndPr>
    <w:sdtContent>
      <w:p w14:paraId="13A0F182" w14:textId="77777777" w:rsidR="00511A5F" w:rsidRDefault="00511A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67D4">
          <w:rPr>
            <w:noProof/>
          </w:rPr>
          <w:t>3</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2E89" w14:textId="77777777" w:rsidR="005C45F4" w:rsidRDefault="005C45F4" w:rsidP="004546C8">
      <w:r>
        <w:separator/>
      </w:r>
    </w:p>
  </w:footnote>
  <w:footnote w:type="continuationSeparator" w:id="0">
    <w:p w14:paraId="62DEEFDB" w14:textId="77777777" w:rsidR="005C45F4" w:rsidRDefault="005C45F4" w:rsidP="0045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4974DD5A" w14:textId="77777777" w:rsidR="00511A5F" w:rsidRDefault="00511A5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D-R-A-F-T for public review. Submit any comments by 11/6/12 to bdavis@region2000.org</w:t>
        </w:r>
      </w:p>
    </w:sdtContent>
  </w:sdt>
  <w:p w14:paraId="235CA4EE" w14:textId="77777777" w:rsidR="00511A5F" w:rsidRDefault="0051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088454"/>
    <w:multiLevelType w:val="hybridMultilevel"/>
    <w:tmpl w:val="00E170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00AD"/>
    <w:multiLevelType w:val="hybridMultilevel"/>
    <w:tmpl w:val="163ECD90"/>
    <w:lvl w:ilvl="0" w:tplc="A81EF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783C7C"/>
    <w:multiLevelType w:val="hybridMultilevel"/>
    <w:tmpl w:val="0D62BFB4"/>
    <w:lvl w:ilvl="0" w:tplc="C1B0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6C35"/>
    <w:multiLevelType w:val="hybridMultilevel"/>
    <w:tmpl w:val="E13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22D13"/>
    <w:multiLevelType w:val="hybridMultilevel"/>
    <w:tmpl w:val="EA00C82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13596C47"/>
    <w:multiLevelType w:val="hybridMultilevel"/>
    <w:tmpl w:val="3E5A8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F35A1"/>
    <w:multiLevelType w:val="hybridMultilevel"/>
    <w:tmpl w:val="34564B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03467"/>
    <w:multiLevelType w:val="hybridMultilevel"/>
    <w:tmpl w:val="02B8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529A2"/>
    <w:multiLevelType w:val="hybridMultilevel"/>
    <w:tmpl w:val="05C262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151C2"/>
    <w:multiLevelType w:val="hybridMultilevel"/>
    <w:tmpl w:val="DCF639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DE2DF5"/>
    <w:multiLevelType w:val="hybridMultilevel"/>
    <w:tmpl w:val="00900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E7904"/>
    <w:multiLevelType w:val="hybridMultilevel"/>
    <w:tmpl w:val="76A6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50C37"/>
    <w:multiLevelType w:val="hybridMultilevel"/>
    <w:tmpl w:val="A54A83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62DC6"/>
    <w:multiLevelType w:val="hybridMultilevel"/>
    <w:tmpl w:val="7908B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85084"/>
    <w:multiLevelType w:val="hybridMultilevel"/>
    <w:tmpl w:val="2E80351E"/>
    <w:lvl w:ilvl="0" w:tplc="3992F774">
      <w:start w:val="1"/>
      <w:numFmt w:val="decimal"/>
      <w:lvlText w:val="%1)"/>
      <w:lvlJc w:val="left"/>
      <w:pPr>
        <w:ind w:left="1065" w:hanging="361"/>
      </w:pPr>
      <w:rPr>
        <w:rFonts w:ascii="Arial" w:eastAsia="Arial" w:hAnsi="Arial" w:cs="Arial" w:hint="default"/>
        <w:color w:val="070707"/>
        <w:w w:val="105"/>
        <w:sz w:val="19"/>
        <w:szCs w:val="19"/>
      </w:rPr>
    </w:lvl>
    <w:lvl w:ilvl="1" w:tplc="D048E718">
      <w:numFmt w:val="bullet"/>
      <w:lvlText w:val="•"/>
      <w:lvlJc w:val="left"/>
      <w:pPr>
        <w:ind w:left="1956" w:hanging="361"/>
      </w:pPr>
      <w:rPr>
        <w:rFonts w:hint="default"/>
      </w:rPr>
    </w:lvl>
    <w:lvl w:ilvl="2" w:tplc="04F45FEE">
      <w:numFmt w:val="bullet"/>
      <w:lvlText w:val="•"/>
      <w:lvlJc w:val="left"/>
      <w:pPr>
        <w:ind w:left="2852" w:hanging="361"/>
      </w:pPr>
      <w:rPr>
        <w:rFonts w:hint="default"/>
      </w:rPr>
    </w:lvl>
    <w:lvl w:ilvl="3" w:tplc="8A4AE25A">
      <w:numFmt w:val="bullet"/>
      <w:lvlText w:val="•"/>
      <w:lvlJc w:val="left"/>
      <w:pPr>
        <w:ind w:left="3748" w:hanging="361"/>
      </w:pPr>
      <w:rPr>
        <w:rFonts w:hint="default"/>
      </w:rPr>
    </w:lvl>
    <w:lvl w:ilvl="4" w:tplc="3DD8177A">
      <w:numFmt w:val="bullet"/>
      <w:lvlText w:val="•"/>
      <w:lvlJc w:val="left"/>
      <w:pPr>
        <w:ind w:left="4644" w:hanging="361"/>
      </w:pPr>
      <w:rPr>
        <w:rFonts w:hint="default"/>
      </w:rPr>
    </w:lvl>
    <w:lvl w:ilvl="5" w:tplc="FB0CAC60">
      <w:numFmt w:val="bullet"/>
      <w:lvlText w:val="•"/>
      <w:lvlJc w:val="left"/>
      <w:pPr>
        <w:ind w:left="5540" w:hanging="361"/>
      </w:pPr>
      <w:rPr>
        <w:rFonts w:hint="default"/>
      </w:rPr>
    </w:lvl>
    <w:lvl w:ilvl="6" w:tplc="77DC938C">
      <w:numFmt w:val="bullet"/>
      <w:lvlText w:val="•"/>
      <w:lvlJc w:val="left"/>
      <w:pPr>
        <w:ind w:left="6436" w:hanging="361"/>
      </w:pPr>
      <w:rPr>
        <w:rFonts w:hint="default"/>
      </w:rPr>
    </w:lvl>
    <w:lvl w:ilvl="7" w:tplc="09C41A60">
      <w:numFmt w:val="bullet"/>
      <w:lvlText w:val="•"/>
      <w:lvlJc w:val="left"/>
      <w:pPr>
        <w:ind w:left="7332" w:hanging="361"/>
      </w:pPr>
      <w:rPr>
        <w:rFonts w:hint="default"/>
      </w:rPr>
    </w:lvl>
    <w:lvl w:ilvl="8" w:tplc="5F3033DE">
      <w:numFmt w:val="bullet"/>
      <w:lvlText w:val="•"/>
      <w:lvlJc w:val="left"/>
      <w:pPr>
        <w:ind w:left="8228" w:hanging="361"/>
      </w:pPr>
      <w:rPr>
        <w:rFonts w:hint="default"/>
      </w:rPr>
    </w:lvl>
  </w:abstractNum>
  <w:abstractNum w:abstractNumId="15" w15:restartNumberingAfterBreak="0">
    <w:nsid w:val="65C74951"/>
    <w:multiLevelType w:val="hybridMultilevel"/>
    <w:tmpl w:val="D01C81CA"/>
    <w:lvl w:ilvl="0" w:tplc="C5BC6188">
      <w:start w:val="1"/>
      <w:numFmt w:val="bullet"/>
      <w:lvlText w:val=""/>
      <w:lvlJc w:val="left"/>
      <w:pPr>
        <w:tabs>
          <w:tab w:val="num" w:pos="720"/>
        </w:tabs>
        <w:ind w:left="720" w:hanging="360"/>
      </w:pPr>
      <w:rPr>
        <w:rFonts w:ascii="Wingdings" w:hAnsi="Wingdings" w:hint="default"/>
      </w:rPr>
    </w:lvl>
    <w:lvl w:ilvl="1" w:tplc="0996FA68">
      <w:start w:val="1"/>
      <w:numFmt w:val="bullet"/>
      <w:lvlText w:val=""/>
      <w:lvlJc w:val="left"/>
      <w:pPr>
        <w:tabs>
          <w:tab w:val="num" w:pos="1440"/>
        </w:tabs>
        <w:ind w:left="1440" w:hanging="360"/>
      </w:pPr>
      <w:rPr>
        <w:rFonts w:ascii="Wingdings" w:hAnsi="Wingdings" w:hint="default"/>
      </w:rPr>
    </w:lvl>
    <w:lvl w:ilvl="2" w:tplc="21A28836" w:tentative="1">
      <w:start w:val="1"/>
      <w:numFmt w:val="bullet"/>
      <w:lvlText w:val=""/>
      <w:lvlJc w:val="left"/>
      <w:pPr>
        <w:tabs>
          <w:tab w:val="num" w:pos="2160"/>
        </w:tabs>
        <w:ind w:left="2160" w:hanging="360"/>
      </w:pPr>
      <w:rPr>
        <w:rFonts w:ascii="Wingdings" w:hAnsi="Wingdings" w:hint="default"/>
      </w:rPr>
    </w:lvl>
    <w:lvl w:ilvl="3" w:tplc="276A72B0" w:tentative="1">
      <w:start w:val="1"/>
      <w:numFmt w:val="bullet"/>
      <w:lvlText w:val=""/>
      <w:lvlJc w:val="left"/>
      <w:pPr>
        <w:tabs>
          <w:tab w:val="num" w:pos="2880"/>
        </w:tabs>
        <w:ind w:left="2880" w:hanging="360"/>
      </w:pPr>
      <w:rPr>
        <w:rFonts w:ascii="Wingdings" w:hAnsi="Wingdings" w:hint="default"/>
      </w:rPr>
    </w:lvl>
    <w:lvl w:ilvl="4" w:tplc="61626202" w:tentative="1">
      <w:start w:val="1"/>
      <w:numFmt w:val="bullet"/>
      <w:lvlText w:val=""/>
      <w:lvlJc w:val="left"/>
      <w:pPr>
        <w:tabs>
          <w:tab w:val="num" w:pos="3600"/>
        </w:tabs>
        <w:ind w:left="3600" w:hanging="360"/>
      </w:pPr>
      <w:rPr>
        <w:rFonts w:ascii="Wingdings" w:hAnsi="Wingdings" w:hint="default"/>
      </w:rPr>
    </w:lvl>
    <w:lvl w:ilvl="5" w:tplc="75FA7074" w:tentative="1">
      <w:start w:val="1"/>
      <w:numFmt w:val="bullet"/>
      <w:lvlText w:val=""/>
      <w:lvlJc w:val="left"/>
      <w:pPr>
        <w:tabs>
          <w:tab w:val="num" w:pos="4320"/>
        </w:tabs>
        <w:ind w:left="4320" w:hanging="360"/>
      </w:pPr>
      <w:rPr>
        <w:rFonts w:ascii="Wingdings" w:hAnsi="Wingdings" w:hint="default"/>
      </w:rPr>
    </w:lvl>
    <w:lvl w:ilvl="6" w:tplc="B44C65BC" w:tentative="1">
      <w:start w:val="1"/>
      <w:numFmt w:val="bullet"/>
      <w:lvlText w:val=""/>
      <w:lvlJc w:val="left"/>
      <w:pPr>
        <w:tabs>
          <w:tab w:val="num" w:pos="5040"/>
        </w:tabs>
        <w:ind w:left="5040" w:hanging="360"/>
      </w:pPr>
      <w:rPr>
        <w:rFonts w:ascii="Wingdings" w:hAnsi="Wingdings" w:hint="default"/>
      </w:rPr>
    </w:lvl>
    <w:lvl w:ilvl="7" w:tplc="329616B6" w:tentative="1">
      <w:start w:val="1"/>
      <w:numFmt w:val="bullet"/>
      <w:lvlText w:val=""/>
      <w:lvlJc w:val="left"/>
      <w:pPr>
        <w:tabs>
          <w:tab w:val="num" w:pos="5760"/>
        </w:tabs>
        <w:ind w:left="5760" w:hanging="360"/>
      </w:pPr>
      <w:rPr>
        <w:rFonts w:ascii="Wingdings" w:hAnsi="Wingdings" w:hint="default"/>
      </w:rPr>
    </w:lvl>
    <w:lvl w:ilvl="8" w:tplc="8A7E83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B06EA"/>
    <w:multiLevelType w:val="hybridMultilevel"/>
    <w:tmpl w:val="53847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D2C"/>
    <w:multiLevelType w:val="hybridMultilevel"/>
    <w:tmpl w:val="626895D0"/>
    <w:lvl w:ilvl="0" w:tplc="647EC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F36833"/>
    <w:multiLevelType w:val="hybridMultilevel"/>
    <w:tmpl w:val="53847A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232B0"/>
    <w:multiLevelType w:val="hybridMultilevel"/>
    <w:tmpl w:val="354ADF3E"/>
    <w:lvl w:ilvl="0" w:tplc="A86475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B7D82"/>
    <w:multiLevelType w:val="hybridMultilevel"/>
    <w:tmpl w:val="7380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94F12"/>
    <w:multiLevelType w:val="hybridMultilevel"/>
    <w:tmpl w:val="E47AB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5"/>
  </w:num>
  <w:num w:numId="5">
    <w:abstractNumId w:val="10"/>
  </w:num>
  <w:num w:numId="6">
    <w:abstractNumId w:val="2"/>
  </w:num>
  <w:num w:numId="7">
    <w:abstractNumId w:val="3"/>
  </w:num>
  <w:num w:numId="8">
    <w:abstractNumId w:val="5"/>
  </w:num>
  <w:num w:numId="9">
    <w:abstractNumId w:val="1"/>
  </w:num>
  <w:num w:numId="10">
    <w:abstractNumId w:val="21"/>
  </w:num>
  <w:num w:numId="11">
    <w:abstractNumId w:val="17"/>
  </w:num>
  <w:num w:numId="12">
    <w:abstractNumId w:val="20"/>
  </w:num>
  <w:num w:numId="13">
    <w:abstractNumId w:val="6"/>
  </w:num>
  <w:num w:numId="14">
    <w:abstractNumId w:val="12"/>
  </w:num>
  <w:num w:numId="15">
    <w:abstractNumId w:val="13"/>
  </w:num>
  <w:num w:numId="16">
    <w:abstractNumId w:val="19"/>
  </w:num>
  <w:num w:numId="17">
    <w:abstractNumId w:val="9"/>
  </w:num>
  <w:num w:numId="18">
    <w:abstractNumId w:val="0"/>
  </w:num>
  <w:num w:numId="19">
    <w:abstractNumId w:val="11"/>
  </w:num>
  <w:num w:numId="20">
    <w:abstractNumId w:val="8"/>
  </w:num>
  <w:num w:numId="21">
    <w:abstractNumId w:val="7"/>
  </w:num>
  <w:num w:numId="22">
    <w:abstractNumId w:val="16"/>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CE"/>
    <w:rsid w:val="00041247"/>
    <w:rsid w:val="00054908"/>
    <w:rsid w:val="00055E2A"/>
    <w:rsid w:val="000773E3"/>
    <w:rsid w:val="000A715A"/>
    <w:rsid w:val="000D41E2"/>
    <w:rsid w:val="000E567F"/>
    <w:rsid w:val="000F4635"/>
    <w:rsid w:val="000F547B"/>
    <w:rsid w:val="001100EF"/>
    <w:rsid w:val="00117DD8"/>
    <w:rsid w:val="00127A9F"/>
    <w:rsid w:val="001365CA"/>
    <w:rsid w:val="0014139C"/>
    <w:rsid w:val="001461D2"/>
    <w:rsid w:val="00193AE4"/>
    <w:rsid w:val="001A6DB2"/>
    <w:rsid w:val="001B0AA2"/>
    <w:rsid w:val="001C6B89"/>
    <w:rsid w:val="001F2590"/>
    <w:rsid w:val="00261710"/>
    <w:rsid w:val="00277E94"/>
    <w:rsid w:val="00297B24"/>
    <w:rsid w:val="002C65F6"/>
    <w:rsid w:val="002D4EA2"/>
    <w:rsid w:val="002F2917"/>
    <w:rsid w:val="00322AA7"/>
    <w:rsid w:val="00327995"/>
    <w:rsid w:val="00330872"/>
    <w:rsid w:val="00333320"/>
    <w:rsid w:val="003453DC"/>
    <w:rsid w:val="0035758D"/>
    <w:rsid w:val="003720A9"/>
    <w:rsid w:val="003740BB"/>
    <w:rsid w:val="00380463"/>
    <w:rsid w:val="003853F4"/>
    <w:rsid w:val="003A4FA5"/>
    <w:rsid w:val="003E4B96"/>
    <w:rsid w:val="00403D6C"/>
    <w:rsid w:val="0041036D"/>
    <w:rsid w:val="004176AE"/>
    <w:rsid w:val="0043747B"/>
    <w:rsid w:val="004474AB"/>
    <w:rsid w:val="00454631"/>
    <w:rsid w:val="004546C8"/>
    <w:rsid w:val="004702F8"/>
    <w:rsid w:val="00475342"/>
    <w:rsid w:val="004B3482"/>
    <w:rsid w:val="00511A5F"/>
    <w:rsid w:val="00512524"/>
    <w:rsid w:val="00514834"/>
    <w:rsid w:val="005747AB"/>
    <w:rsid w:val="00587C87"/>
    <w:rsid w:val="00587EF3"/>
    <w:rsid w:val="00594E00"/>
    <w:rsid w:val="00597764"/>
    <w:rsid w:val="005977D8"/>
    <w:rsid w:val="005C126F"/>
    <w:rsid w:val="005C45F4"/>
    <w:rsid w:val="005E2B90"/>
    <w:rsid w:val="005E66FC"/>
    <w:rsid w:val="00652C9B"/>
    <w:rsid w:val="00674159"/>
    <w:rsid w:val="00682859"/>
    <w:rsid w:val="006836FD"/>
    <w:rsid w:val="006E53CE"/>
    <w:rsid w:val="0070630D"/>
    <w:rsid w:val="00711125"/>
    <w:rsid w:val="00737733"/>
    <w:rsid w:val="007C45DE"/>
    <w:rsid w:val="00814E4E"/>
    <w:rsid w:val="0082288A"/>
    <w:rsid w:val="008262AD"/>
    <w:rsid w:val="00866A72"/>
    <w:rsid w:val="00880FF5"/>
    <w:rsid w:val="008824EF"/>
    <w:rsid w:val="0088529F"/>
    <w:rsid w:val="00895340"/>
    <w:rsid w:val="008A2D96"/>
    <w:rsid w:val="008B15CE"/>
    <w:rsid w:val="008D1555"/>
    <w:rsid w:val="008E1744"/>
    <w:rsid w:val="00901C08"/>
    <w:rsid w:val="00922BAD"/>
    <w:rsid w:val="009305D5"/>
    <w:rsid w:val="00986CFB"/>
    <w:rsid w:val="00993621"/>
    <w:rsid w:val="009B67D4"/>
    <w:rsid w:val="009F044F"/>
    <w:rsid w:val="009F75D6"/>
    <w:rsid w:val="009F7CEF"/>
    <w:rsid w:val="00A05816"/>
    <w:rsid w:val="00A12506"/>
    <w:rsid w:val="00A349D4"/>
    <w:rsid w:val="00A83617"/>
    <w:rsid w:val="00AA558F"/>
    <w:rsid w:val="00AA678D"/>
    <w:rsid w:val="00AE0DA0"/>
    <w:rsid w:val="00AE5FB9"/>
    <w:rsid w:val="00B1077D"/>
    <w:rsid w:val="00B2442D"/>
    <w:rsid w:val="00B33699"/>
    <w:rsid w:val="00B45E93"/>
    <w:rsid w:val="00B91B2B"/>
    <w:rsid w:val="00BA0A2F"/>
    <w:rsid w:val="00BA0BC9"/>
    <w:rsid w:val="00BA1337"/>
    <w:rsid w:val="00BA6D47"/>
    <w:rsid w:val="00BC52D0"/>
    <w:rsid w:val="00BF126F"/>
    <w:rsid w:val="00C07444"/>
    <w:rsid w:val="00C20D3C"/>
    <w:rsid w:val="00C274BB"/>
    <w:rsid w:val="00C371D5"/>
    <w:rsid w:val="00C434B1"/>
    <w:rsid w:val="00C63773"/>
    <w:rsid w:val="00C81BC0"/>
    <w:rsid w:val="00CA1DCC"/>
    <w:rsid w:val="00CE5CAA"/>
    <w:rsid w:val="00CF0BB2"/>
    <w:rsid w:val="00D03B8C"/>
    <w:rsid w:val="00D36C24"/>
    <w:rsid w:val="00D40CEF"/>
    <w:rsid w:val="00D638FD"/>
    <w:rsid w:val="00D875E7"/>
    <w:rsid w:val="00D93672"/>
    <w:rsid w:val="00DC6882"/>
    <w:rsid w:val="00DD2162"/>
    <w:rsid w:val="00DD537C"/>
    <w:rsid w:val="00DD6A1A"/>
    <w:rsid w:val="00DF333E"/>
    <w:rsid w:val="00E33537"/>
    <w:rsid w:val="00E7174F"/>
    <w:rsid w:val="00E954DC"/>
    <w:rsid w:val="00EF7105"/>
    <w:rsid w:val="00F1032B"/>
    <w:rsid w:val="00F347A2"/>
    <w:rsid w:val="00F35141"/>
    <w:rsid w:val="00F35F9F"/>
    <w:rsid w:val="00FC11B2"/>
    <w:rsid w:val="00FE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F3F1D"/>
  <w15:docId w15:val="{8970131C-C861-4A29-8F34-3E1D6595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CE"/>
    <w:pPr>
      <w:spacing w:after="0" w:line="240" w:lineRule="auto"/>
    </w:pPr>
    <w:rPr>
      <w:rFonts w:ascii="Calibri" w:hAnsi="Calibri" w:cs="Calibri"/>
    </w:rPr>
  </w:style>
  <w:style w:type="paragraph" w:styleId="Heading1">
    <w:name w:val="heading 1"/>
    <w:basedOn w:val="Normal"/>
    <w:next w:val="Normal"/>
    <w:link w:val="Heading1Char"/>
    <w:uiPriority w:val="9"/>
    <w:qFormat/>
    <w:rsid w:val="000E56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C65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1"/>
    <w:qFormat/>
    <w:rsid w:val="00330872"/>
    <w:pPr>
      <w:widowControl w:val="0"/>
      <w:autoSpaceDE w:val="0"/>
      <w:autoSpaceDN w:val="0"/>
      <w:ind w:left="836"/>
      <w:outlineLvl w:val="3"/>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53CE"/>
    <w:pPr>
      <w:ind w:left="720"/>
    </w:pPr>
  </w:style>
  <w:style w:type="character" w:styleId="Hyperlink">
    <w:name w:val="Hyperlink"/>
    <w:basedOn w:val="DefaultParagraphFont"/>
    <w:uiPriority w:val="99"/>
    <w:unhideWhenUsed/>
    <w:rsid w:val="006E53CE"/>
    <w:rPr>
      <w:color w:val="0000FF"/>
      <w:u w:val="single"/>
    </w:rPr>
  </w:style>
  <w:style w:type="paragraph" w:styleId="BalloonText">
    <w:name w:val="Balloon Text"/>
    <w:basedOn w:val="Normal"/>
    <w:link w:val="BalloonTextChar"/>
    <w:uiPriority w:val="99"/>
    <w:semiHidden/>
    <w:unhideWhenUsed/>
    <w:rsid w:val="0043747B"/>
    <w:rPr>
      <w:rFonts w:ascii="Tahoma" w:hAnsi="Tahoma" w:cs="Tahoma"/>
      <w:sz w:val="16"/>
      <w:szCs w:val="16"/>
    </w:rPr>
  </w:style>
  <w:style w:type="character" w:customStyle="1" w:styleId="BalloonTextChar">
    <w:name w:val="Balloon Text Char"/>
    <w:basedOn w:val="DefaultParagraphFont"/>
    <w:link w:val="BalloonText"/>
    <w:uiPriority w:val="99"/>
    <w:semiHidden/>
    <w:rsid w:val="0043747B"/>
    <w:rPr>
      <w:rFonts w:ascii="Tahoma" w:hAnsi="Tahoma" w:cs="Tahoma"/>
      <w:sz w:val="16"/>
      <w:szCs w:val="16"/>
    </w:rPr>
  </w:style>
  <w:style w:type="paragraph" w:customStyle="1" w:styleId="Default">
    <w:name w:val="Default"/>
    <w:rsid w:val="00CF0B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46C8"/>
    <w:pPr>
      <w:tabs>
        <w:tab w:val="center" w:pos="4680"/>
        <w:tab w:val="right" w:pos="9360"/>
      </w:tabs>
    </w:pPr>
  </w:style>
  <w:style w:type="character" w:customStyle="1" w:styleId="HeaderChar">
    <w:name w:val="Header Char"/>
    <w:basedOn w:val="DefaultParagraphFont"/>
    <w:link w:val="Header"/>
    <w:uiPriority w:val="99"/>
    <w:rsid w:val="004546C8"/>
    <w:rPr>
      <w:rFonts w:ascii="Calibri" w:hAnsi="Calibri" w:cs="Calibri"/>
    </w:rPr>
  </w:style>
  <w:style w:type="paragraph" w:styleId="Footer">
    <w:name w:val="footer"/>
    <w:basedOn w:val="Normal"/>
    <w:link w:val="FooterChar"/>
    <w:uiPriority w:val="99"/>
    <w:unhideWhenUsed/>
    <w:rsid w:val="004546C8"/>
    <w:pPr>
      <w:tabs>
        <w:tab w:val="center" w:pos="4680"/>
        <w:tab w:val="right" w:pos="9360"/>
      </w:tabs>
    </w:pPr>
  </w:style>
  <w:style w:type="character" w:customStyle="1" w:styleId="FooterChar">
    <w:name w:val="Footer Char"/>
    <w:basedOn w:val="DefaultParagraphFont"/>
    <w:link w:val="Footer"/>
    <w:uiPriority w:val="99"/>
    <w:rsid w:val="004546C8"/>
    <w:rPr>
      <w:rFonts w:ascii="Calibri" w:hAnsi="Calibri" w:cs="Calibri"/>
    </w:rPr>
  </w:style>
  <w:style w:type="table" w:styleId="TableGrid">
    <w:name w:val="Table Grid"/>
    <w:basedOn w:val="TableNormal"/>
    <w:uiPriority w:val="59"/>
    <w:rsid w:val="0040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4EF"/>
    <w:rPr>
      <w:sz w:val="16"/>
      <w:szCs w:val="16"/>
    </w:rPr>
  </w:style>
  <w:style w:type="paragraph" w:styleId="CommentText">
    <w:name w:val="annotation text"/>
    <w:basedOn w:val="Normal"/>
    <w:link w:val="CommentTextChar"/>
    <w:uiPriority w:val="99"/>
    <w:semiHidden/>
    <w:unhideWhenUsed/>
    <w:rsid w:val="008824EF"/>
    <w:rPr>
      <w:sz w:val="20"/>
      <w:szCs w:val="20"/>
    </w:rPr>
  </w:style>
  <w:style w:type="character" w:customStyle="1" w:styleId="CommentTextChar">
    <w:name w:val="Comment Text Char"/>
    <w:basedOn w:val="DefaultParagraphFont"/>
    <w:link w:val="CommentText"/>
    <w:uiPriority w:val="99"/>
    <w:semiHidden/>
    <w:rsid w:val="008824E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24EF"/>
    <w:rPr>
      <w:b/>
      <w:bCs/>
    </w:rPr>
  </w:style>
  <w:style w:type="character" w:customStyle="1" w:styleId="CommentSubjectChar">
    <w:name w:val="Comment Subject Char"/>
    <w:basedOn w:val="CommentTextChar"/>
    <w:link w:val="CommentSubject"/>
    <w:uiPriority w:val="99"/>
    <w:semiHidden/>
    <w:rsid w:val="008824EF"/>
    <w:rPr>
      <w:rFonts w:ascii="Calibri" w:hAnsi="Calibri" w:cs="Calibri"/>
      <w:b/>
      <w:bCs/>
      <w:sz w:val="20"/>
      <w:szCs w:val="20"/>
    </w:rPr>
  </w:style>
  <w:style w:type="character" w:styleId="FollowedHyperlink">
    <w:name w:val="FollowedHyperlink"/>
    <w:basedOn w:val="DefaultParagraphFont"/>
    <w:uiPriority w:val="99"/>
    <w:semiHidden/>
    <w:unhideWhenUsed/>
    <w:rsid w:val="003E4B96"/>
    <w:rPr>
      <w:color w:val="800080" w:themeColor="followedHyperlink"/>
      <w:u w:val="single"/>
    </w:rPr>
  </w:style>
  <w:style w:type="paragraph" w:styleId="BodyText">
    <w:name w:val="Body Text"/>
    <w:basedOn w:val="Normal"/>
    <w:link w:val="BodyTextChar"/>
    <w:uiPriority w:val="1"/>
    <w:qFormat/>
    <w:rsid w:val="00B45E93"/>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B45E93"/>
    <w:rPr>
      <w:rFonts w:ascii="Arial" w:eastAsia="Arial" w:hAnsi="Arial" w:cs="Arial"/>
      <w:sz w:val="19"/>
      <w:szCs w:val="19"/>
    </w:rPr>
  </w:style>
  <w:style w:type="character" w:customStyle="1" w:styleId="Heading4Char">
    <w:name w:val="Heading 4 Char"/>
    <w:basedOn w:val="DefaultParagraphFont"/>
    <w:link w:val="Heading4"/>
    <w:uiPriority w:val="1"/>
    <w:rsid w:val="00330872"/>
    <w:rPr>
      <w:rFonts w:ascii="Arial" w:eastAsia="Arial" w:hAnsi="Arial" w:cs="Arial"/>
      <w:sz w:val="20"/>
      <w:szCs w:val="20"/>
    </w:rPr>
  </w:style>
  <w:style w:type="character" w:customStyle="1" w:styleId="Heading2Char">
    <w:name w:val="Heading 2 Char"/>
    <w:basedOn w:val="DefaultParagraphFont"/>
    <w:link w:val="Heading2"/>
    <w:uiPriority w:val="9"/>
    <w:semiHidden/>
    <w:rsid w:val="002C65F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E567F"/>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0E567F"/>
    <w:pPr>
      <w:widowControl w:val="0"/>
      <w:autoSpaceDE w:val="0"/>
      <w:autoSpaceDN w:val="0"/>
      <w:ind w:left="816"/>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3362">
      <w:bodyDiv w:val="1"/>
      <w:marLeft w:val="0"/>
      <w:marRight w:val="0"/>
      <w:marTop w:val="0"/>
      <w:marBottom w:val="0"/>
      <w:divBdr>
        <w:top w:val="none" w:sz="0" w:space="0" w:color="auto"/>
        <w:left w:val="none" w:sz="0" w:space="0" w:color="auto"/>
        <w:bottom w:val="none" w:sz="0" w:space="0" w:color="auto"/>
        <w:right w:val="none" w:sz="0" w:space="0" w:color="auto"/>
      </w:divBdr>
    </w:div>
    <w:div w:id="839008926">
      <w:bodyDiv w:val="1"/>
      <w:marLeft w:val="0"/>
      <w:marRight w:val="0"/>
      <w:marTop w:val="0"/>
      <w:marBottom w:val="0"/>
      <w:divBdr>
        <w:top w:val="none" w:sz="0" w:space="0" w:color="auto"/>
        <w:left w:val="none" w:sz="0" w:space="0" w:color="auto"/>
        <w:bottom w:val="none" w:sz="0" w:space="0" w:color="auto"/>
        <w:right w:val="none" w:sz="0" w:space="0" w:color="auto"/>
      </w:divBdr>
    </w:div>
    <w:div w:id="1378436526">
      <w:bodyDiv w:val="1"/>
      <w:marLeft w:val="0"/>
      <w:marRight w:val="0"/>
      <w:marTop w:val="0"/>
      <w:marBottom w:val="0"/>
      <w:divBdr>
        <w:top w:val="none" w:sz="0" w:space="0" w:color="auto"/>
        <w:left w:val="none" w:sz="0" w:space="0" w:color="auto"/>
        <w:bottom w:val="none" w:sz="0" w:space="0" w:color="auto"/>
        <w:right w:val="none" w:sz="0" w:space="0" w:color="auto"/>
      </w:divBdr>
    </w:div>
    <w:div w:id="1626692923">
      <w:bodyDiv w:val="1"/>
      <w:marLeft w:val="0"/>
      <w:marRight w:val="0"/>
      <w:marTop w:val="0"/>
      <w:marBottom w:val="0"/>
      <w:divBdr>
        <w:top w:val="none" w:sz="0" w:space="0" w:color="auto"/>
        <w:left w:val="none" w:sz="0" w:space="0" w:color="auto"/>
        <w:bottom w:val="none" w:sz="0" w:space="0" w:color="auto"/>
        <w:right w:val="none" w:sz="0" w:space="0" w:color="auto"/>
      </w:divBdr>
    </w:div>
    <w:div w:id="1814565869">
      <w:bodyDiv w:val="1"/>
      <w:marLeft w:val="0"/>
      <w:marRight w:val="0"/>
      <w:marTop w:val="0"/>
      <w:marBottom w:val="0"/>
      <w:divBdr>
        <w:top w:val="none" w:sz="0" w:space="0" w:color="auto"/>
        <w:left w:val="none" w:sz="0" w:space="0" w:color="auto"/>
        <w:bottom w:val="none" w:sz="0" w:space="0" w:color="auto"/>
        <w:right w:val="none" w:sz="0" w:space="0" w:color="auto"/>
      </w:divBdr>
      <w:divsChild>
        <w:div w:id="698357034">
          <w:marLeft w:val="1166"/>
          <w:marRight w:val="0"/>
          <w:marTop w:val="0"/>
          <w:marBottom w:val="0"/>
          <w:divBdr>
            <w:top w:val="none" w:sz="0" w:space="0" w:color="auto"/>
            <w:left w:val="none" w:sz="0" w:space="0" w:color="auto"/>
            <w:bottom w:val="none" w:sz="0" w:space="0" w:color="auto"/>
            <w:right w:val="none" w:sz="0" w:space="0" w:color="auto"/>
          </w:divBdr>
        </w:div>
        <w:div w:id="1268074262">
          <w:marLeft w:val="1166"/>
          <w:marRight w:val="0"/>
          <w:marTop w:val="0"/>
          <w:marBottom w:val="0"/>
          <w:divBdr>
            <w:top w:val="none" w:sz="0" w:space="0" w:color="auto"/>
            <w:left w:val="none" w:sz="0" w:space="0" w:color="auto"/>
            <w:bottom w:val="none" w:sz="0" w:space="0" w:color="auto"/>
            <w:right w:val="none" w:sz="0" w:space="0" w:color="auto"/>
          </w:divBdr>
        </w:div>
        <w:div w:id="1922830220">
          <w:marLeft w:val="1166"/>
          <w:marRight w:val="0"/>
          <w:marTop w:val="0"/>
          <w:marBottom w:val="0"/>
          <w:divBdr>
            <w:top w:val="none" w:sz="0" w:space="0" w:color="auto"/>
            <w:left w:val="none" w:sz="0" w:space="0" w:color="auto"/>
            <w:bottom w:val="none" w:sz="0" w:space="0" w:color="auto"/>
            <w:right w:val="none" w:sz="0" w:space="0" w:color="auto"/>
          </w:divBdr>
        </w:div>
        <w:div w:id="2092192506">
          <w:marLeft w:val="1166"/>
          <w:marRight w:val="0"/>
          <w:marTop w:val="0"/>
          <w:marBottom w:val="0"/>
          <w:divBdr>
            <w:top w:val="none" w:sz="0" w:space="0" w:color="auto"/>
            <w:left w:val="none" w:sz="0" w:space="0" w:color="auto"/>
            <w:bottom w:val="none" w:sz="0" w:space="0" w:color="auto"/>
            <w:right w:val="none" w:sz="0" w:space="0" w:color="auto"/>
          </w:divBdr>
        </w:div>
        <w:div w:id="1509562611">
          <w:marLeft w:val="1166"/>
          <w:marRight w:val="0"/>
          <w:marTop w:val="0"/>
          <w:marBottom w:val="0"/>
          <w:divBdr>
            <w:top w:val="none" w:sz="0" w:space="0" w:color="auto"/>
            <w:left w:val="none" w:sz="0" w:space="0" w:color="auto"/>
            <w:bottom w:val="none" w:sz="0" w:space="0" w:color="auto"/>
            <w:right w:val="none" w:sz="0" w:space="0" w:color="auto"/>
          </w:divBdr>
        </w:div>
        <w:div w:id="214661590">
          <w:marLeft w:val="1166"/>
          <w:marRight w:val="0"/>
          <w:marTop w:val="0"/>
          <w:marBottom w:val="0"/>
          <w:divBdr>
            <w:top w:val="none" w:sz="0" w:space="0" w:color="auto"/>
            <w:left w:val="none" w:sz="0" w:space="0" w:color="auto"/>
            <w:bottom w:val="none" w:sz="0" w:space="0" w:color="auto"/>
            <w:right w:val="none" w:sz="0" w:space="0" w:color="auto"/>
          </w:divBdr>
        </w:div>
        <w:div w:id="821772322">
          <w:marLeft w:val="1166"/>
          <w:marRight w:val="0"/>
          <w:marTop w:val="0"/>
          <w:marBottom w:val="0"/>
          <w:divBdr>
            <w:top w:val="none" w:sz="0" w:space="0" w:color="auto"/>
            <w:left w:val="none" w:sz="0" w:space="0" w:color="auto"/>
            <w:bottom w:val="none" w:sz="0" w:space="0" w:color="auto"/>
            <w:right w:val="none" w:sz="0" w:space="0" w:color="auto"/>
          </w:divBdr>
        </w:div>
        <w:div w:id="139079678">
          <w:marLeft w:val="1166"/>
          <w:marRight w:val="0"/>
          <w:marTop w:val="0"/>
          <w:marBottom w:val="0"/>
          <w:divBdr>
            <w:top w:val="none" w:sz="0" w:space="0" w:color="auto"/>
            <w:left w:val="none" w:sz="0" w:space="0" w:color="auto"/>
            <w:bottom w:val="none" w:sz="0" w:space="0" w:color="auto"/>
            <w:right w:val="none" w:sz="0" w:space="0" w:color="auto"/>
          </w:divBdr>
        </w:div>
        <w:div w:id="1361320113">
          <w:marLeft w:val="1166"/>
          <w:marRight w:val="0"/>
          <w:marTop w:val="0"/>
          <w:marBottom w:val="0"/>
          <w:divBdr>
            <w:top w:val="none" w:sz="0" w:space="0" w:color="auto"/>
            <w:left w:val="none" w:sz="0" w:space="0" w:color="auto"/>
            <w:bottom w:val="none" w:sz="0" w:space="0" w:color="auto"/>
            <w:right w:val="none" w:sz="0" w:space="0" w:color="auto"/>
          </w:divBdr>
        </w:div>
        <w:div w:id="206140748">
          <w:marLeft w:val="1166"/>
          <w:marRight w:val="0"/>
          <w:marTop w:val="0"/>
          <w:marBottom w:val="0"/>
          <w:divBdr>
            <w:top w:val="none" w:sz="0" w:space="0" w:color="auto"/>
            <w:left w:val="none" w:sz="0" w:space="0" w:color="auto"/>
            <w:bottom w:val="none" w:sz="0" w:space="0" w:color="auto"/>
            <w:right w:val="none" w:sz="0" w:space="0" w:color="auto"/>
          </w:divBdr>
        </w:div>
        <w:div w:id="2006935314">
          <w:marLeft w:val="1166"/>
          <w:marRight w:val="0"/>
          <w:marTop w:val="0"/>
          <w:marBottom w:val="0"/>
          <w:divBdr>
            <w:top w:val="none" w:sz="0" w:space="0" w:color="auto"/>
            <w:left w:val="none" w:sz="0" w:space="0" w:color="auto"/>
            <w:bottom w:val="none" w:sz="0" w:space="0" w:color="auto"/>
            <w:right w:val="none" w:sz="0" w:space="0" w:color="auto"/>
          </w:divBdr>
        </w:div>
        <w:div w:id="324283129">
          <w:marLeft w:val="1166"/>
          <w:marRight w:val="0"/>
          <w:marTop w:val="0"/>
          <w:marBottom w:val="0"/>
          <w:divBdr>
            <w:top w:val="none" w:sz="0" w:space="0" w:color="auto"/>
            <w:left w:val="none" w:sz="0" w:space="0" w:color="auto"/>
            <w:bottom w:val="none" w:sz="0" w:space="0" w:color="auto"/>
            <w:right w:val="none" w:sz="0" w:space="0" w:color="auto"/>
          </w:divBdr>
        </w:div>
        <w:div w:id="194997021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742D-7C8E-47A0-A9E0-EF4755BE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for public review. Submit any comments by 11/6/12 to bdavis@region2000.org</vt:lpstr>
    </vt:vector>
  </TitlesOfParts>
  <Company>Fairfax County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public review. Submit any comments by 11/6/12 to bdavis@region2000.org</dc:title>
  <dc:creator>Carr, Kimberly</dc:creator>
  <cp:lastModifiedBy>Hannah Marshall</cp:lastModifiedBy>
  <cp:revision>4</cp:revision>
  <cp:lastPrinted>2017-12-29T21:44:00Z</cp:lastPrinted>
  <dcterms:created xsi:type="dcterms:W3CDTF">2018-07-11T17:16:00Z</dcterms:created>
  <dcterms:modified xsi:type="dcterms:W3CDTF">2018-07-11T18:13:00Z</dcterms:modified>
</cp:coreProperties>
</file>