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6DE6" w14:textId="0A81A426" w:rsidR="000F4635" w:rsidRDefault="00B67B74" w:rsidP="00AA558F">
      <w:pPr>
        <w:spacing w:line="288" w:lineRule="auto"/>
        <w:jc w:val="center"/>
        <w:rPr>
          <w:rFonts w:asciiTheme="minorHAnsi" w:hAnsiTheme="minorHAnsi" w:cstheme="minorHAnsi"/>
          <w:b/>
        </w:rPr>
      </w:pPr>
      <w:r>
        <w:rPr>
          <w:noProof/>
        </w:rPr>
        <w:drawing>
          <wp:inline distT="0" distB="0" distL="0" distR="0" wp14:anchorId="4147F63D" wp14:editId="69EEDB07">
            <wp:extent cx="2322870" cy="952117"/>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341" cy="992889"/>
                    </a:xfrm>
                    <a:prstGeom prst="rect">
                      <a:avLst/>
                    </a:prstGeom>
                    <a:noFill/>
                    <a:ln>
                      <a:noFill/>
                    </a:ln>
                  </pic:spPr>
                </pic:pic>
              </a:graphicData>
            </a:graphic>
          </wp:inline>
        </w:drawing>
      </w:r>
    </w:p>
    <w:p w14:paraId="0AACC41C" w14:textId="77777777" w:rsidR="00322AA7" w:rsidRPr="000D41E2" w:rsidRDefault="00322AA7" w:rsidP="00AA558F">
      <w:pPr>
        <w:spacing w:line="288" w:lineRule="auto"/>
        <w:jc w:val="center"/>
        <w:rPr>
          <w:rFonts w:asciiTheme="minorHAnsi" w:hAnsiTheme="minorHAnsi" w:cstheme="minorHAnsi"/>
          <w:b/>
        </w:rPr>
      </w:pPr>
    </w:p>
    <w:p w14:paraId="1C72C90C" w14:textId="3C920C18" w:rsidR="00E65AE8" w:rsidRPr="000D41E2" w:rsidRDefault="007B240A" w:rsidP="00AA558F">
      <w:pPr>
        <w:pBdr>
          <w:top w:val="single" w:sz="4" w:space="1" w:color="auto"/>
          <w:left w:val="single" w:sz="4" w:space="4" w:color="auto"/>
          <w:bottom w:val="single" w:sz="4" w:space="1" w:color="auto"/>
          <w:right w:val="single" w:sz="4" w:space="4" w:color="auto"/>
        </w:pBdr>
        <w:spacing w:line="288" w:lineRule="auto"/>
        <w:jc w:val="center"/>
        <w:rPr>
          <w:rFonts w:asciiTheme="minorHAnsi" w:hAnsiTheme="minorHAnsi" w:cstheme="minorHAnsi"/>
          <w:b/>
        </w:rPr>
      </w:pPr>
      <w:r>
        <w:rPr>
          <w:rFonts w:asciiTheme="minorHAnsi" w:hAnsiTheme="minorHAnsi" w:cstheme="minorHAnsi"/>
          <w:b/>
        </w:rPr>
        <w:t xml:space="preserve"> Workforce Innovation and Opportunity Act (WIOA) </w:t>
      </w:r>
      <w:r w:rsidR="00514837">
        <w:rPr>
          <w:rFonts w:asciiTheme="minorHAnsi" w:hAnsiTheme="minorHAnsi" w:cstheme="minorHAnsi"/>
          <w:b/>
        </w:rPr>
        <w:t>Program Policy # 107</w:t>
      </w:r>
    </w:p>
    <w:p w14:paraId="7A979FF5" w14:textId="77777777" w:rsidR="00CF0BB2" w:rsidRPr="000D41E2" w:rsidRDefault="00CF0BB2" w:rsidP="00AA558F">
      <w:pPr>
        <w:spacing w:line="288" w:lineRule="auto"/>
        <w:jc w:val="center"/>
        <w:rPr>
          <w:rFonts w:asciiTheme="minorHAnsi" w:hAnsiTheme="minorHAnsi" w:cstheme="minorHAnsi"/>
          <w:b/>
        </w:rPr>
      </w:pPr>
    </w:p>
    <w:p w14:paraId="25E0689A" w14:textId="6D5BD4D5" w:rsidR="00CF0BB2" w:rsidRPr="000D41E2" w:rsidRDefault="00CF0BB2" w:rsidP="00AA558F">
      <w:pPr>
        <w:spacing w:line="288" w:lineRule="auto"/>
        <w:rPr>
          <w:rFonts w:asciiTheme="minorHAnsi" w:hAnsiTheme="minorHAnsi" w:cstheme="minorHAnsi"/>
          <w:b/>
        </w:rPr>
      </w:pPr>
      <w:r w:rsidRPr="000D41E2">
        <w:rPr>
          <w:rFonts w:asciiTheme="minorHAnsi" w:hAnsiTheme="minorHAnsi" w:cstheme="minorHAnsi"/>
          <w:b/>
        </w:rPr>
        <w:t xml:space="preserve">Subject: </w:t>
      </w:r>
      <w:r w:rsidRPr="000D41E2">
        <w:rPr>
          <w:rFonts w:asciiTheme="minorHAnsi" w:hAnsiTheme="minorHAnsi" w:cstheme="minorHAnsi"/>
          <w:b/>
        </w:rPr>
        <w:tab/>
      </w:r>
      <w:r w:rsidR="00E65AE8">
        <w:rPr>
          <w:rFonts w:asciiTheme="minorHAnsi" w:hAnsiTheme="minorHAnsi" w:cstheme="minorHAnsi"/>
          <w:b/>
        </w:rPr>
        <w:tab/>
      </w:r>
      <w:r w:rsidR="00514834" w:rsidRPr="000D41E2">
        <w:rPr>
          <w:rFonts w:asciiTheme="minorHAnsi" w:hAnsiTheme="minorHAnsi" w:cstheme="minorHAnsi"/>
          <w:b/>
        </w:rPr>
        <w:tab/>
      </w:r>
      <w:r w:rsidR="00044AE1">
        <w:rPr>
          <w:rFonts w:asciiTheme="minorHAnsi" w:hAnsiTheme="minorHAnsi" w:cstheme="minorHAnsi"/>
          <w:b/>
        </w:rPr>
        <w:t xml:space="preserve">Eligible Training Provider Certification </w:t>
      </w:r>
    </w:p>
    <w:p w14:paraId="2D199352" w14:textId="77777777" w:rsidR="00CF0BB2" w:rsidRPr="000D41E2" w:rsidRDefault="00CF0BB2" w:rsidP="00AA558F">
      <w:pPr>
        <w:spacing w:line="288" w:lineRule="auto"/>
        <w:rPr>
          <w:rFonts w:asciiTheme="minorHAnsi" w:hAnsiTheme="minorHAnsi" w:cstheme="minorHAnsi"/>
          <w:b/>
        </w:rPr>
      </w:pPr>
    </w:p>
    <w:p w14:paraId="49356D2E" w14:textId="2695BAD7" w:rsidR="00CF0BB2" w:rsidRDefault="00E65AE8" w:rsidP="00AA558F">
      <w:pPr>
        <w:spacing w:line="288" w:lineRule="auto"/>
        <w:rPr>
          <w:rFonts w:asciiTheme="minorHAnsi" w:hAnsiTheme="minorHAnsi" w:cstheme="minorHAnsi"/>
          <w:b/>
        </w:rPr>
      </w:pPr>
      <w:r>
        <w:rPr>
          <w:rFonts w:asciiTheme="minorHAnsi" w:hAnsiTheme="minorHAnsi" w:cstheme="minorHAnsi"/>
          <w:b/>
        </w:rPr>
        <w:t>Date of Issuance</w:t>
      </w:r>
      <w:r w:rsidR="00CF0BB2" w:rsidRPr="000D41E2">
        <w:rPr>
          <w:rFonts w:asciiTheme="minorHAnsi" w:hAnsiTheme="minorHAnsi" w:cstheme="minorHAnsi"/>
          <w:b/>
        </w:rPr>
        <w:t xml:space="preserve">: </w:t>
      </w:r>
      <w:r w:rsidR="00CF0BB2" w:rsidRPr="000D41E2">
        <w:rPr>
          <w:rFonts w:asciiTheme="minorHAnsi" w:hAnsiTheme="minorHAnsi" w:cstheme="minorHAnsi"/>
          <w:b/>
        </w:rPr>
        <w:tab/>
      </w:r>
      <w:r w:rsidR="00CF0BB2" w:rsidRPr="000D41E2">
        <w:rPr>
          <w:rFonts w:asciiTheme="minorHAnsi" w:hAnsiTheme="minorHAnsi" w:cstheme="minorHAnsi"/>
          <w:b/>
        </w:rPr>
        <w:tab/>
      </w:r>
      <w:r w:rsidR="00FB0AED">
        <w:rPr>
          <w:rFonts w:asciiTheme="minorHAnsi" w:hAnsiTheme="minorHAnsi" w:cstheme="minorHAnsi"/>
          <w:b/>
        </w:rPr>
        <w:t>January 10, 2018</w:t>
      </w:r>
    </w:p>
    <w:p w14:paraId="4C81F7C6" w14:textId="77777777" w:rsidR="00B27789" w:rsidRDefault="00B27789" w:rsidP="00AA558F">
      <w:pPr>
        <w:spacing w:line="288" w:lineRule="auto"/>
        <w:rPr>
          <w:rFonts w:asciiTheme="minorHAnsi" w:hAnsiTheme="minorHAnsi" w:cstheme="minorHAnsi"/>
          <w:b/>
        </w:rPr>
      </w:pPr>
    </w:p>
    <w:p w14:paraId="5E69A596" w14:textId="07D20A26" w:rsidR="00044AE1" w:rsidRDefault="00044AE1" w:rsidP="00492E09">
      <w:pPr>
        <w:spacing w:line="288" w:lineRule="auto"/>
        <w:rPr>
          <w:rFonts w:asciiTheme="minorHAnsi" w:hAnsiTheme="minorHAnsi" w:cstheme="minorHAnsi"/>
          <w:b/>
        </w:rPr>
      </w:pPr>
      <w:r>
        <w:rPr>
          <w:rFonts w:asciiTheme="minorHAnsi" w:hAnsiTheme="minorHAnsi" w:cstheme="minorHAnsi"/>
          <w:b/>
        </w:rPr>
        <w:t>References: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VWL 15-01</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4A226EA5" w14:textId="7733C654" w:rsidR="001D46F8" w:rsidRDefault="001D46F8" w:rsidP="00AA558F">
      <w:pPr>
        <w:spacing w:line="288"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VWL 16-01</w:t>
      </w:r>
    </w:p>
    <w:p w14:paraId="711B4E7A" w14:textId="77777777" w:rsidR="00277566" w:rsidRDefault="00277566" w:rsidP="00AA558F">
      <w:pPr>
        <w:spacing w:line="288"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277566">
        <w:rPr>
          <w:rFonts w:asciiTheme="minorHAnsi" w:hAnsiTheme="minorHAnsi" w:cstheme="minorHAnsi"/>
          <w:b/>
        </w:rPr>
        <w:t>Virginia Board of Workforce Development Policy No. 404-01</w:t>
      </w:r>
    </w:p>
    <w:p w14:paraId="547B75BD" w14:textId="0727E58C" w:rsidR="006B2C23" w:rsidRDefault="00277566" w:rsidP="00AA558F">
      <w:pPr>
        <w:spacing w:line="288"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277566">
        <w:rPr>
          <w:rFonts w:asciiTheme="minorHAnsi" w:hAnsiTheme="minorHAnsi" w:cstheme="minorHAnsi"/>
          <w:b/>
        </w:rPr>
        <w:t>Virginia Board of Workforce Development Policy No. 404-02</w:t>
      </w:r>
    </w:p>
    <w:p w14:paraId="209DE93A" w14:textId="222D923F" w:rsidR="00277566" w:rsidRPr="00B33289" w:rsidRDefault="00714553" w:rsidP="00AA558F">
      <w:pPr>
        <w:spacing w:line="288" w:lineRule="auto"/>
        <w:rPr>
          <w:rFonts w:asciiTheme="minorHAnsi" w:hAnsiTheme="minorHAnsi" w:cstheme="minorHAnsi"/>
          <w:b/>
        </w:rPr>
      </w:pPr>
      <w:r w:rsidRPr="00B33289">
        <w:rPr>
          <w:rFonts w:asciiTheme="minorHAnsi" w:hAnsiTheme="minorHAnsi" w:cstheme="minorHAnsi"/>
          <w:b/>
        </w:rPr>
        <w:t>Policy Statement:</w:t>
      </w:r>
      <w:r w:rsidR="00DC065C" w:rsidRPr="00B33289">
        <w:rPr>
          <w:rFonts w:asciiTheme="minorHAnsi" w:hAnsiTheme="minorHAnsi" w:cstheme="minorHAnsi"/>
          <w:b/>
        </w:rPr>
        <w:tab/>
        <w:t>`</w:t>
      </w:r>
    </w:p>
    <w:p w14:paraId="00B3E77B" w14:textId="77777777" w:rsidR="00044AE1" w:rsidRPr="00B33289" w:rsidRDefault="00044AE1" w:rsidP="00044AE1">
      <w:pPr>
        <w:autoSpaceDE w:val="0"/>
        <w:autoSpaceDN w:val="0"/>
        <w:adjustRightInd w:val="0"/>
        <w:rPr>
          <w:color w:val="000000"/>
        </w:rPr>
      </w:pPr>
    </w:p>
    <w:p w14:paraId="63FCDDE1" w14:textId="2CE1F599" w:rsidR="00044AE1" w:rsidRPr="00B33289" w:rsidRDefault="00044AE1" w:rsidP="00714553">
      <w:pPr>
        <w:autoSpaceDE w:val="0"/>
        <w:autoSpaceDN w:val="0"/>
        <w:adjustRightInd w:val="0"/>
        <w:rPr>
          <w:color w:val="000000"/>
        </w:rPr>
      </w:pPr>
      <w:r w:rsidRPr="00B33289">
        <w:rPr>
          <w:color w:val="000000"/>
        </w:rPr>
        <w:t xml:space="preserve"> The purpo</w:t>
      </w:r>
      <w:r w:rsidR="00714553" w:rsidRPr="00B33289">
        <w:rPr>
          <w:color w:val="000000"/>
        </w:rPr>
        <w:t xml:space="preserve">se of this policy is to </w:t>
      </w:r>
      <w:r w:rsidRPr="00B33289">
        <w:rPr>
          <w:color w:val="000000"/>
        </w:rPr>
        <w:t xml:space="preserve">determine eligibility criteria applied by the </w:t>
      </w:r>
      <w:r w:rsidR="00B67B74" w:rsidRPr="00B67B74">
        <w:rPr>
          <w:color w:val="000000"/>
        </w:rPr>
        <w:t xml:space="preserve">Central Virginia Workforce Development Board </w:t>
      </w:r>
      <w:r w:rsidRPr="00B33289">
        <w:rPr>
          <w:color w:val="000000"/>
        </w:rPr>
        <w:t>(WDB) to initial certi</w:t>
      </w:r>
      <w:r w:rsidR="00714553" w:rsidRPr="00B33289">
        <w:rPr>
          <w:color w:val="000000"/>
        </w:rPr>
        <w:t xml:space="preserve">fication of training providers, establish a </w:t>
      </w:r>
      <w:r w:rsidRPr="00B33289">
        <w:rPr>
          <w:color w:val="000000"/>
        </w:rPr>
        <w:t>process for</w:t>
      </w:r>
      <w:r w:rsidR="00714553" w:rsidRPr="00B33289">
        <w:rPr>
          <w:color w:val="000000"/>
        </w:rPr>
        <w:t xml:space="preserve"> annual training provider review and recertification and </w:t>
      </w:r>
      <w:r w:rsidRPr="00B33289">
        <w:rPr>
          <w:color w:val="000000"/>
        </w:rPr>
        <w:t xml:space="preserve">describe the appeals process available to providers refused certification. </w:t>
      </w:r>
    </w:p>
    <w:p w14:paraId="23357788" w14:textId="77777777" w:rsidR="00022AA4" w:rsidRPr="00B33289" w:rsidRDefault="00022AA4" w:rsidP="00AA558F">
      <w:pPr>
        <w:spacing w:line="288" w:lineRule="auto"/>
        <w:rPr>
          <w:rFonts w:asciiTheme="minorHAnsi" w:hAnsiTheme="minorHAnsi" w:cstheme="minorHAnsi"/>
        </w:rPr>
      </w:pPr>
    </w:p>
    <w:p w14:paraId="58509CE5" w14:textId="3B1FF309" w:rsidR="000C6F95" w:rsidRPr="00B33289" w:rsidRDefault="000C6F95" w:rsidP="000C6F95">
      <w:pPr>
        <w:tabs>
          <w:tab w:val="left" w:pos="720"/>
          <w:tab w:val="left" w:pos="1170"/>
        </w:tabs>
        <w:spacing w:after="200" w:line="276" w:lineRule="auto"/>
        <w:contextualSpacing/>
        <w:rPr>
          <w:rFonts w:asciiTheme="minorHAnsi" w:hAnsiTheme="minorHAnsi" w:cstheme="minorHAnsi"/>
          <w:b/>
        </w:rPr>
      </w:pPr>
      <w:r w:rsidRPr="00B33289">
        <w:rPr>
          <w:rFonts w:asciiTheme="minorHAnsi" w:hAnsiTheme="minorHAnsi" w:cstheme="minorHAnsi"/>
          <w:b/>
        </w:rPr>
        <w:t>Definitions:</w:t>
      </w:r>
    </w:p>
    <w:p w14:paraId="69F0A276" w14:textId="77777777" w:rsidR="008E7E91" w:rsidRPr="00B33289" w:rsidRDefault="008E7E91" w:rsidP="000C6F95">
      <w:pPr>
        <w:tabs>
          <w:tab w:val="left" w:pos="720"/>
          <w:tab w:val="left" w:pos="1170"/>
        </w:tabs>
        <w:spacing w:after="200" w:line="276" w:lineRule="auto"/>
        <w:contextualSpacing/>
        <w:rPr>
          <w:rFonts w:asciiTheme="minorHAnsi" w:hAnsiTheme="minorHAnsi" w:cstheme="minorHAnsi"/>
          <w:b/>
          <w:u w:val="single"/>
        </w:rPr>
      </w:pPr>
    </w:p>
    <w:p w14:paraId="0F709011" w14:textId="77777777" w:rsidR="00A82326" w:rsidRPr="00B33289" w:rsidRDefault="008E7E91" w:rsidP="008E7E9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u w:val="single"/>
        </w:rPr>
        <w:t>Eligible Training Provider (ETP)</w:t>
      </w:r>
      <w:r w:rsidRPr="00B33289">
        <w:rPr>
          <w:rFonts w:asciiTheme="minorHAnsi" w:hAnsiTheme="minorHAnsi" w:cstheme="minorHAnsi"/>
        </w:rPr>
        <w:t xml:space="preserve"> - is a state-approved training provider qualified to receive WIOA Title I-B funds to train adults and dislocated workers, including those with disabilities.  An ETP is the only type of entity that can receive funding for training services through an ITA.  ETPs can be:   </w:t>
      </w:r>
    </w:p>
    <w:p w14:paraId="5CE5E966" w14:textId="192C72E9" w:rsidR="00A82326" w:rsidRPr="00B33289" w:rsidRDefault="008E7E91" w:rsidP="00A82326">
      <w:pPr>
        <w:pStyle w:val="ListParagraph"/>
        <w:numPr>
          <w:ilvl w:val="0"/>
          <w:numId w:val="28"/>
        </w:num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Post-secondary education institutions  </w:t>
      </w:r>
    </w:p>
    <w:p w14:paraId="282A14C7" w14:textId="4B33A1D7" w:rsidR="00A82326" w:rsidRPr="00B33289" w:rsidRDefault="008E7E91" w:rsidP="00A82326">
      <w:pPr>
        <w:pStyle w:val="ListParagraph"/>
        <w:numPr>
          <w:ilvl w:val="0"/>
          <w:numId w:val="28"/>
        </w:num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Registered Apprenticeship programs  </w:t>
      </w:r>
    </w:p>
    <w:p w14:paraId="5002D269" w14:textId="3C48F451" w:rsidR="00A82326" w:rsidRPr="00B33289" w:rsidRDefault="008E7E91" w:rsidP="00A82326">
      <w:pPr>
        <w:pStyle w:val="ListParagraph"/>
        <w:numPr>
          <w:ilvl w:val="0"/>
          <w:numId w:val="28"/>
        </w:num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Other public or private providers of training, which may include joint labor-management organizations and eligible providers of adult education and literacy activities under Title II if such activities are provided in combination with occupational skills training </w:t>
      </w:r>
    </w:p>
    <w:p w14:paraId="46F6A399" w14:textId="48F0CD2A" w:rsidR="00A82326" w:rsidRPr="00B33289" w:rsidRDefault="008E7E91" w:rsidP="00A82326">
      <w:pPr>
        <w:pStyle w:val="ListParagraph"/>
        <w:numPr>
          <w:ilvl w:val="0"/>
          <w:numId w:val="28"/>
        </w:num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Local Boards, if they meet the conditions of WIOA sec 107(g)(1)  </w:t>
      </w:r>
    </w:p>
    <w:p w14:paraId="470D119F" w14:textId="1D82AD9A" w:rsidR="008E7E91" w:rsidRPr="00B33289" w:rsidRDefault="008E7E91" w:rsidP="009C765E">
      <w:pPr>
        <w:pStyle w:val="ListParagraph"/>
        <w:numPr>
          <w:ilvl w:val="0"/>
          <w:numId w:val="28"/>
        </w:num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Community Based Organizations or private organizations of demonstrated effectiveness that provide training under contract with the Local Board.   </w:t>
      </w:r>
    </w:p>
    <w:p w14:paraId="5B69DDF9" w14:textId="387B06A4" w:rsidR="008E7E91" w:rsidRPr="00B33289" w:rsidRDefault="008E7E91" w:rsidP="008E7E9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u w:val="single"/>
        </w:rPr>
        <w:t>Eligible Training Provider and Programs List (ETPL)</w:t>
      </w:r>
      <w:r w:rsidRPr="00B33289">
        <w:rPr>
          <w:rFonts w:asciiTheme="minorHAnsi" w:hAnsiTheme="minorHAnsi" w:cstheme="minorHAnsi"/>
        </w:rPr>
        <w:t xml:space="preserve"> - is a list of state approved ETPs and their state approved training programs. The ETPL is administered by the WIOA Title I Administrator in partnership with the Local Workforce Development Boards (LWDBs). This list is located on the Virginia Workforce Connection. A program of training services is one or more courses or classes, or a structured regimen that leads to a recognized post-secondary credential, secondary school diploma, or its equivalent, employment, or measurable skill towards such a credential or employment. These training services may be delivered in person, on-line, or in a blended approach</w:t>
      </w:r>
      <w:r w:rsidR="00EE1E72" w:rsidRPr="00B33289">
        <w:rPr>
          <w:rFonts w:asciiTheme="minorHAnsi" w:hAnsiTheme="minorHAnsi" w:cstheme="minorHAnsi"/>
        </w:rPr>
        <w:t>.</w:t>
      </w:r>
    </w:p>
    <w:p w14:paraId="077571CD" w14:textId="77777777" w:rsidR="008E7E91" w:rsidRPr="00B33289" w:rsidRDefault="008E7E91" w:rsidP="008E7E91">
      <w:pPr>
        <w:tabs>
          <w:tab w:val="left" w:pos="720"/>
          <w:tab w:val="left" w:pos="1170"/>
        </w:tabs>
        <w:spacing w:after="200" w:line="276" w:lineRule="auto"/>
        <w:contextualSpacing/>
        <w:rPr>
          <w:rFonts w:asciiTheme="minorHAnsi" w:hAnsiTheme="minorHAnsi" w:cstheme="minorHAnsi"/>
          <w:b/>
          <w:u w:val="single"/>
        </w:rPr>
      </w:pPr>
      <w:r w:rsidRPr="00B33289">
        <w:rPr>
          <w:rFonts w:asciiTheme="minorHAnsi" w:hAnsiTheme="minorHAnsi" w:cstheme="minorHAnsi"/>
          <w:b/>
          <w:u w:val="single"/>
        </w:rPr>
        <w:t xml:space="preserve"> </w:t>
      </w:r>
    </w:p>
    <w:p w14:paraId="3F9B7EDE" w14:textId="40D9C5FE" w:rsidR="008E7E91" w:rsidRPr="00B33289" w:rsidRDefault="008E7E91" w:rsidP="008E7E9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u w:val="single"/>
        </w:rPr>
        <w:t xml:space="preserve">Program Year </w:t>
      </w:r>
      <w:r w:rsidRPr="00B33289">
        <w:rPr>
          <w:rFonts w:asciiTheme="minorHAnsi" w:hAnsiTheme="minorHAnsi" w:cstheme="minorHAnsi"/>
        </w:rPr>
        <w:t xml:space="preserve">- is the period that runs from July 1 through June 30 of the subsequent year. </w:t>
      </w:r>
    </w:p>
    <w:p w14:paraId="4B5EE9BB" w14:textId="2CD60794" w:rsidR="008E7E91" w:rsidRPr="00B33289" w:rsidRDefault="008E7E91" w:rsidP="008E7E91">
      <w:pPr>
        <w:tabs>
          <w:tab w:val="left" w:pos="720"/>
          <w:tab w:val="left" w:pos="1170"/>
        </w:tabs>
        <w:spacing w:after="200" w:line="276" w:lineRule="auto"/>
        <w:contextualSpacing/>
        <w:rPr>
          <w:rFonts w:asciiTheme="minorHAnsi" w:hAnsiTheme="minorHAnsi" w:cstheme="minorHAnsi"/>
        </w:rPr>
      </w:pPr>
    </w:p>
    <w:p w14:paraId="5B1F3563" w14:textId="77777777" w:rsidR="00B61DC6" w:rsidRPr="00B33289" w:rsidRDefault="008E7E91" w:rsidP="008E7E9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 </w:t>
      </w:r>
      <w:r w:rsidRPr="00B33289">
        <w:rPr>
          <w:rFonts w:asciiTheme="minorHAnsi" w:hAnsiTheme="minorHAnsi" w:cstheme="minorHAnsi"/>
          <w:u w:val="single"/>
        </w:rPr>
        <w:t>Virginia Workforce Connection (</w:t>
      </w:r>
      <w:proofErr w:type="spellStart"/>
      <w:r w:rsidRPr="00B33289">
        <w:rPr>
          <w:rFonts w:asciiTheme="minorHAnsi" w:hAnsiTheme="minorHAnsi" w:cstheme="minorHAnsi"/>
          <w:u w:val="single"/>
        </w:rPr>
        <w:t>VaWC</w:t>
      </w:r>
      <w:proofErr w:type="spellEnd"/>
      <w:r w:rsidRPr="00B33289">
        <w:rPr>
          <w:rFonts w:asciiTheme="minorHAnsi" w:hAnsiTheme="minorHAnsi" w:cstheme="minorHAnsi"/>
        </w:rPr>
        <w:t xml:space="preserve">) - is the System of Record for the WIOA Title I programs in the Commonwealth of Virginia.   </w:t>
      </w:r>
    </w:p>
    <w:p w14:paraId="31BEB609" w14:textId="77777777" w:rsidR="00B61DC6" w:rsidRPr="00B33289" w:rsidRDefault="00B61DC6" w:rsidP="008E7E91">
      <w:pPr>
        <w:tabs>
          <w:tab w:val="left" w:pos="720"/>
          <w:tab w:val="left" w:pos="1170"/>
        </w:tabs>
        <w:spacing w:after="200" w:line="276" w:lineRule="auto"/>
        <w:contextualSpacing/>
        <w:rPr>
          <w:rFonts w:asciiTheme="minorHAnsi" w:hAnsiTheme="minorHAnsi" w:cstheme="minorHAnsi"/>
        </w:rPr>
      </w:pPr>
    </w:p>
    <w:p w14:paraId="076E483D" w14:textId="579850F6" w:rsidR="008E7E91" w:rsidRPr="00B33289" w:rsidRDefault="00644430" w:rsidP="008E7E91">
      <w:pPr>
        <w:tabs>
          <w:tab w:val="left" w:pos="720"/>
          <w:tab w:val="left" w:pos="1170"/>
        </w:tabs>
        <w:spacing w:after="200" w:line="276" w:lineRule="auto"/>
        <w:contextualSpacing/>
        <w:rPr>
          <w:rFonts w:asciiTheme="minorHAnsi" w:hAnsiTheme="minorHAnsi" w:cstheme="minorHAnsi"/>
          <w:b/>
        </w:rPr>
      </w:pPr>
      <w:r w:rsidRPr="00B33289">
        <w:rPr>
          <w:rFonts w:asciiTheme="minorHAnsi" w:hAnsiTheme="minorHAnsi" w:cstheme="minorHAnsi"/>
          <w:b/>
        </w:rPr>
        <w:t>Initial Certification</w:t>
      </w:r>
      <w:r w:rsidR="00B61DC6" w:rsidRPr="00B33289">
        <w:rPr>
          <w:rFonts w:asciiTheme="minorHAnsi" w:hAnsiTheme="minorHAnsi" w:cstheme="minorHAnsi"/>
          <w:b/>
        </w:rPr>
        <w:t>:</w:t>
      </w:r>
      <w:r w:rsidR="008E7E91" w:rsidRPr="00B33289">
        <w:rPr>
          <w:rFonts w:asciiTheme="minorHAnsi" w:hAnsiTheme="minorHAnsi" w:cstheme="minorHAnsi"/>
          <w:b/>
        </w:rPr>
        <w:t xml:space="preserve"> </w:t>
      </w:r>
    </w:p>
    <w:p w14:paraId="57108747" w14:textId="77777777" w:rsidR="00B61DC6" w:rsidRPr="00B33289" w:rsidRDefault="00B61DC6" w:rsidP="00B61DC6">
      <w:pPr>
        <w:autoSpaceDE w:val="0"/>
        <w:autoSpaceDN w:val="0"/>
        <w:adjustRightInd w:val="0"/>
        <w:rPr>
          <w:color w:val="000000"/>
        </w:rPr>
      </w:pPr>
    </w:p>
    <w:p w14:paraId="2394D125" w14:textId="1D3B51E6" w:rsidR="00E45B97" w:rsidRPr="00B33289" w:rsidRDefault="00B61DC6" w:rsidP="004B5262">
      <w:pPr>
        <w:pStyle w:val="Default"/>
        <w:rPr>
          <w:sz w:val="22"/>
          <w:szCs w:val="22"/>
        </w:rPr>
      </w:pPr>
      <w:r w:rsidRPr="00B33289">
        <w:rPr>
          <w:sz w:val="22"/>
          <w:szCs w:val="22"/>
        </w:rPr>
        <w:t xml:space="preserve"> </w:t>
      </w:r>
      <w:r w:rsidR="00B67B74">
        <w:rPr>
          <w:sz w:val="22"/>
          <w:szCs w:val="22"/>
        </w:rPr>
        <w:t>Central Virginia</w:t>
      </w:r>
      <w:r w:rsidRPr="00B33289">
        <w:rPr>
          <w:sz w:val="22"/>
          <w:szCs w:val="22"/>
        </w:rPr>
        <w:t xml:space="preserve"> WDB will certify training providers on a</w:t>
      </w:r>
      <w:r w:rsidR="007B3B11" w:rsidRPr="00B33289">
        <w:rPr>
          <w:sz w:val="22"/>
          <w:szCs w:val="22"/>
        </w:rPr>
        <w:t>n annual</w:t>
      </w:r>
      <w:r w:rsidRPr="00B33289">
        <w:rPr>
          <w:sz w:val="22"/>
          <w:szCs w:val="22"/>
        </w:rPr>
        <w:t xml:space="preserve"> basis. Eligible Training Provider (ETP) Certification is good through June 30 of the Program Year in which it becomes effective. To receive WIOA training funds, a training provider must apply for certification of each program that leads to a certificate, degree, license, or for each course </w:t>
      </w:r>
      <w:r w:rsidR="004B5262" w:rsidRPr="00B33289">
        <w:rPr>
          <w:sz w:val="22"/>
          <w:szCs w:val="22"/>
        </w:rPr>
        <w:t xml:space="preserve">that leads to skill attainment. </w:t>
      </w:r>
      <w:r w:rsidR="00E45B97" w:rsidRPr="00B33289">
        <w:rPr>
          <w:sz w:val="22"/>
          <w:szCs w:val="22"/>
        </w:rPr>
        <w:t xml:space="preserve"> In addition to submitting the required documentation, a</w:t>
      </w:r>
      <w:r w:rsidR="004B5262" w:rsidRPr="00B33289">
        <w:rPr>
          <w:sz w:val="22"/>
          <w:szCs w:val="22"/>
        </w:rPr>
        <w:t>pplying providers may be requested to attend board meetings where their application is being reviewed in order to present information and/or answer questions that may arise.</w:t>
      </w:r>
    </w:p>
    <w:p w14:paraId="6800904D" w14:textId="77777777" w:rsidR="00E45B97" w:rsidRPr="00B33289" w:rsidRDefault="00E45B97" w:rsidP="004B5262">
      <w:pPr>
        <w:pStyle w:val="Default"/>
        <w:rPr>
          <w:sz w:val="22"/>
          <w:szCs w:val="22"/>
        </w:rPr>
      </w:pPr>
    </w:p>
    <w:p w14:paraId="6F020053" w14:textId="09E3C172" w:rsidR="007B3B11" w:rsidRPr="00B33289" w:rsidRDefault="007B3B11" w:rsidP="004B5262">
      <w:pPr>
        <w:pStyle w:val="Default"/>
        <w:rPr>
          <w:rFonts w:asciiTheme="minorHAnsi" w:hAnsiTheme="minorHAnsi" w:cstheme="minorHAnsi"/>
          <w:sz w:val="22"/>
          <w:szCs w:val="22"/>
        </w:rPr>
      </w:pPr>
      <w:r w:rsidRPr="00B33289">
        <w:rPr>
          <w:rFonts w:asciiTheme="minorHAnsi" w:hAnsiTheme="minorHAnsi" w:cstheme="minorHAnsi"/>
          <w:sz w:val="22"/>
          <w:szCs w:val="22"/>
        </w:rPr>
        <w:t>Training providers applying for initial program eligibility</w:t>
      </w:r>
      <w:r w:rsidR="00D178A4" w:rsidRPr="00B33289">
        <w:rPr>
          <w:rFonts w:asciiTheme="minorHAnsi" w:hAnsiTheme="minorHAnsi" w:cstheme="minorHAnsi"/>
          <w:sz w:val="22"/>
          <w:szCs w:val="22"/>
        </w:rPr>
        <w:t xml:space="preserve"> in </w:t>
      </w:r>
      <w:r w:rsidR="00B67B74">
        <w:rPr>
          <w:rFonts w:asciiTheme="minorHAnsi" w:hAnsiTheme="minorHAnsi" w:cstheme="minorHAnsi"/>
          <w:sz w:val="22"/>
          <w:szCs w:val="22"/>
        </w:rPr>
        <w:t xml:space="preserve">Central </w:t>
      </w:r>
      <w:r w:rsidR="00D178A4" w:rsidRPr="00B33289">
        <w:rPr>
          <w:rFonts w:asciiTheme="minorHAnsi" w:hAnsiTheme="minorHAnsi" w:cstheme="minorHAnsi"/>
          <w:sz w:val="22"/>
          <w:szCs w:val="22"/>
        </w:rPr>
        <w:t>Region</w:t>
      </w:r>
      <w:r w:rsidR="00F3774D" w:rsidRPr="00B33289">
        <w:rPr>
          <w:rFonts w:asciiTheme="minorHAnsi" w:hAnsiTheme="minorHAnsi" w:cstheme="minorHAnsi"/>
          <w:sz w:val="22"/>
          <w:szCs w:val="22"/>
        </w:rPr>
        <w:t xml:space="preserve"> must submit the</w:t>
      </w:r>
      <w:r w:rsidRPr="00B33289">
        <w:rPr>
          <w:rFonts w:asciiTheme="minorHAnsi" w:hAnsiTheme="minorHAnsi" w:cstheme="minorHAnsi"/>
          <w:sz w:val="22"/>
          <w:szCs w:val="22"/>
        </w:rPr>
        <w:t xml:space="preserve"> State Training Provider and Training Program Application</w:t>
      </w:r>
      <w:r w:rsidR="001E6FB5" w:rsidRPr="00B33289">
        <w:rPr>
          <w:rFonts w:asciiTheme="minorHAnsi" w:hAnsiTheme="minorHAnsi" w:cstheme="minorHAnsi"/>
          <w:sz w:val="22"/>
          <w:szCs w:val="22"/>
        </w:rPr>
        <w:t xml:space="preserve"> and </w:t>
      </w:r>
      <w:r w:rsidRPr="00B33289">
        <w:rPr>
          <w:rFonts w:asciiTheme="minorHAnsi" w:hAnsiTheme="minorHAnsi" w:cstheme="minorHAnsi"/>
          <w:sz w:val="22"/>
          <w:szCs w:val="22"/>
        </w:rPr>
        <w:t>must also provide information addressing factors related to the indicators of performance, as described in WIOA section 116 (b)(2)(A)(</w:t>
      </w:r>
      <w:proofErr w:type="spellStart"/>
      <w:proofErr w:type="gramStart"/>
      <w:r w:rsidRPr="00B33289">
        <w:rPr>
          <w:rFonts w:asciiTheme="minorHAnsi" w:hAnsiTheme="minorHAnsi" w:cstheme="minorHAnsi"/>
          <w:sz w:val="22"/>
          <w:szCs w:val="22"/>
        </w:rPr>
        <w:t>i</w:t>
      </w:r>
      <w:proofErr w:type="spellEnd"/>
      <w:r w:rsidRPr="00B33289">
        <w:rPr>
          <w:rFonts w:asciiTheme="minorHAnsi" w:hAnsiTheme="minorHAnsi" w:cstheme="minorHAnsi"/>
          <w:sz w:val="22"/>
          <w:szCs w:val="22"/>
        </w:rPr>
        <w:t>)(</w:t>
      </w:r>
      <w:proofErr w:type="gramEnd"/>
      <w:r w:rsidRPr="00B33289">
        <w:rPr>
          <w:rFonts w:asciiTheme="minorHAnsi" w:hAnsiTheme="minorHAnsi" w:cstheme="minorHAnsi"/>
          <w:sz w:val="22"/>
          <w:szCs w:val="22"/>
        </w:rPr>
        <w:t xml:space="preserve">I-IV) and Attachment B WIOA Periods for Reporting Outcomes: </w:t>
      </w:r>
    </w:p>
    <w:p w14:paraId="3AD35EE6" w14:textId="77777777" w:rsidR="007B3B11" w:rsidRPr="00B33289" w:rsidRDefault="007B3B11" w:rsidP="007B3B1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 </w:t>
      </w:r>
    </w:p>
    <w:p w14:paraId="133B3F4A" w14:textId="77777777" w:rsidR="00D178A4" w:rsidRPr="00B33289" w:rsidRDefault="007B3B11" w:rsidP="007B3B1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1. The percentage of program participants who are in unsubsidized employment during the second quarter after exit from the program; </w:t>
      </w:r>
    </w:p>
    <w:p w14:paraId="526F17D8" w14:textId="77777777" w:rsidR="00D178A4" w:rsidRPr="00B33289" w:rsidRDefault="007B3B11" w:rsidP="007B3B1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2. The percentage of program participants who are in unsubsidized employment during the fourth quarter after exit from the program; </w:t>
      </w:r>
    </w:p>
    <w:p w14:paraId="17A26885" w14:textId="77777777" w:rsidR="00D178A4" w:rsidRPr="00B33289" w:rsidRDefault="007B3B11" w:rsidP="007B3B1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3. The median earnings of program participants who are in unsubsidized employment during the second quarter after exit from the program; and </w:t>
      </w:r>
    </w:p>
    <w:p w14:paraId="59EC6303" w14:textId="4C90751B" w:rsidR="007B3B11" w:rsidRPr="00B33289" w:rsidRDefault="007B3B11" w:rsidP="007B3B1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4. The percentage of program participants who obtain a recognized post-secondary credential, or a secondary school diploma or its recognized equivalent during participation in or within one year after exit from the program. </w:t>
      </w:r>
    </w:p>
    <w:p w14:paraId="5CE96EE3" w14:textId="77777777" w:rsidR="00D178A4" w:rsidRPr="00B33289" w:rsidRDefault="00D178A4" w:rsidP="007B3B11">
      <w:pPr>
        <w:tabs>
          <w:tab w:val="left" w:pos="720"/>
          <w:tab w:val="left" w:pos="1170"/>
        </w:tabs>
        <w:spacing w:after="200" w:line="276" w:lineRule="auto"/>
        <w:contextualSpacing/>
        <w:rPr>
          <w:rFonts w:asciiTheme="minorHAnsi" w:hAnsiTheme="minorHAnsi" w:cstheme="minorHAnsi"/>
        </w:rPr>
      </w:pPr>
    </w:p>
    <w:p w14:paraId="5C9F528A" w14:textId="13B99986" w:rsidR="007B3B11" w:rsidRPr="00B33289" w:rsidRDefault="007B3B11" w:rsidP="007B3B11">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 If the training provider is not able to provide program performance information related to the factors listed above, the training provider must submit a plan describing ho</w:t>
      </w:r>
      <w:r w:rsidR="00095308" w:rsidRPr="00B33289">
        <w:rPr>
          <w:rFonts w:asciiTheme="minorHAnsi" w:hAnsiTheme="minorHAnsi" w:cstheme="minorHAnsi"/>
        </w:rPr>
        <w:t xml:space="preserve">w they will work with </w:t>
      </w:r>
      <w:r w:rsidR="00B67B74">
        <w:rPr>
          <w:rFonts w:asciiTheme="minorHAnsi" w:hAnsiTheme="minorHAnsi" w:cstheme="minorHAnsi"/>
        </w:rPr>
        <w:t xml:space="preserve">Central Virginia </w:t>
      </w:r>
      <w:r w:rsidR="00095308" w:rsidRPr="00B33289">
        <w:rPr>
          <w:rFonts w:asciiTheme="minorHAnsi" w:hAnsiTheme="minorHAnsi" w:cstheme="minorHAnsi"/>
        </w:rPr>
        <w:t>WDB</w:t>
      </w:r>
      <w:r w:rsidRPr="00B33289">
        <w:rPr>
          <w:rFonts w:asciiTheme="minorHAnsi" w:hAnsiTheme="minorHAnsi" w:cstheme="minorHAnsi"/>
        </w:rPr>
        <w:t xml:space="preserve"> to collect and report on this information for continued eligibility. Upon initial eligibility approval, the training pr</w:t>
      </w:r>
      <w:r w:rsidR="00095308" w:rsidRPr="00B33289">
        <w:rPr>
          <w:rFonts w:asciiTheme="minorHAnsi" w:hAnsiTheme="minorHAnsi" w:cstheme="minorHAnsi"/>
        </w:rPr>
        <w:t xml:space="preserve">ovider must work with </w:t>
      </w:r>
      <w:r w:rsidR="00B67B74">
        <w:rPr>
          <w:rFonts w:asciiTheme="minorHAnsi" w:hAnsiTheme="minorHAnsi" w:cstheme="minorHAnsi"/>
        </w:rPr>
        <w:t xml:space="preserve">Central Virginia </w:t>
      </w:r>
      <w:r w:rsidR="00095308" w:rsidRPr="00B33289">
        <w:rPr>
          <w:rFonts w:asciiTheme="minorHAnsi" w:hAnsiTheme="minorHAnsi" w:cstheme="minorHAnsi"/>
        </w:rPr>
        <w:t>WDB</w:t>
      </w:r>
      <w:r w:rsidRPr="00B33289">
        <w:rPr>
          <w:rFonts w:asciiTheme="minorHAnsi" w:hAnsiTheme="minorHAnsi" w:cstheme="minorHAnsi"/>
        </w:rPr>
        <w:t xml:space="preserve"> to develop a plan to begin tracking and reporting these factors. </w:t>
      </w:r>
    </w:p>
    <w:p w14:paraId="1871B696" w14:textId="77777777" w:rsidR="00E45B97" w:rsidRPr="00B33289" w:rsidRDefault="007B3B11" w:rsidP="00E45B97">
      <w:pPr>
        <w:tabs>
          <w:tab w:val="left" w:pos="720"/>
          <w:tab w:val="left" w:pos="1170"/>
        </w:tabs>
        <w:spacing w:after="200" w:line="276" w:lineRule="auto"/>
        <w:contextualSpacing/>
        <w:rPr>
          <w:rFonts w:asciiTheme="minorHAnsi" w:hAnsiTheme="minorHAnsi" w:cstheme="minorHAnsi"/>
          <w:b/>
        </w:rPr>
      </w:pPr>
      <w:r w:rsidRPr="00B33289">
        <w:rPr>
          <w:rFonts w:asciiTheme="minorHAnsi" w:hAnsiTheme="minorHAnsi" w:cstheme="minorHAnsi"/>
          <w:b/>
        </w:rPr>
        <w:t xml:space="preserve"> </w:t>
      </w:r>
    </w:p>
    <w:p w14:paraId="4D4931B3" w14:textId="085A97CC" w:rsidR="004B5262" w:rsidRPr="00B33289" w:rsidRDefault="00D10E8D" w:rsidP="00E45B97">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Additionally, the </w:t>
      </w:r>
      <w:r w:rsidR="00B67B74">
        <w:rPr>
          <w:rFonts w:asciiTheme="minorHAnsi" w:hAnsiTheme="minorHAnsi" w:cstheme="minorHAnsi"/>
        </w:rPr>
        <w:t xml:space="preserve">Central Virginia </w:t>
      </w:r>
      <w:r w:rsidR="00C5299B" w:rsidRPr="00B33289">
        <w:rPr>
          <w:rFonts w:asciiTheme="minorHAnsi" w:hAnsiTheme="minorHAnsi" w:cstheme="minorHAnsi"/>
        </w:rPr>
        <w:t xml:space="preserve">WDB is </w:t>
      </w:r>
      <w:r w:rsidR="007B3B11" w:rsidRPr="00B33289">
        <w:rPr>
          <w:rFonts w:asciiTheme="minorHAnsi" w:hAnsiTheme="minorHAnsi" w:cstheme="minorHAnsi"/>
        </w:rPr>
        <w:t xml:space="preserve">required to review and ensure physical and program access in accordance with WIOA Section 188 and The Americans with Disabilities Act (ADA).  </w:t>
      </w:r>
      <w:r w:rsidR="00C5299B" w:rsidRPr="00B33289">
        <w:rPr>
          <w:rFonts w:asciiTheme="minorHAnsi" w:hAnsiTheme="minorHAnsi" w:cstheme="minorHAnsi"/>
        </w:rPr>
        <w:t xml:space="preserve">All </w:t>
      </w:r>
      <w:r w:rsidR="0063555B" w:rsidRPr="00B33289">
        <w:rPr>
          <w:rFonts w:asciiTheme="minorHAnsi" w:hAnsiTheme="minorHAnsi" w:cstheme="minorHAnsi"/>
        </w:rPr>
        <w:t>training providers</w:t>
      </w:r>
      <w:r w:rsidR="00D90AA5" w:rsidRPr="00B33289">
        <w:rPr>
          <w:rFonts w:asciiTheme="minorHAnsi" w:hAnsiTheme="minorHAnsi" w:cstheme="minorHAnsi"/>
        </w:rPr>
        <w:t xml:space="preserve"> and programs</w:t>
      </w:r>
      <w:r w:rsidR="0063555B" w:rsidRPr="00B33289">
        <w:rPr>
          <w:rFonts w:asciiTheme="minorHAnsi" w:hAnsiTheme="minorHAnsi" w:cstheme="minorHAnsi"/>
        </w:rPr>
        <w:t xml:space="preserve"> in </w:t>
      </w:r>
      <w:r w:rsidR="00B67B74">
        <w:rPr>
          <w:rFonts w:asciiTheme="minorHAnsi" w:hAnsiTheme="minorHAnsi" w:cstheme="minorHAnsi"/>
        </w:rPr>
        <w:t xml:space="preserve">Central </w:t>
      </w:r>
      <w:r w:rsidR="00B67B74" w:rsidRPr="00B33289">
        <w:rPr>
          <w:rFonts w:asciiTheme="minorHAnsi" w:hAnsiTheme="minorHAnsi" w:cstheme="minorHAnsi"/>
        </w:rPr>
        <w:t>Region applying</w:t>
      </w:r>
      <w:r w:rsidR="0063555B" w:rsidRPr="00B33289">
        <w:rPr>
          <w:rFonts w:asciiTheme="minorHAnsi" w:hAnsiTheme="minorHAnsi" w:cstheme="minorHAnsi"/>
        </w:rPr>
        <w:t xml:space="preserve"> for placement on the ETPL </w:t>
      </w:r>
      <w:r w:rsidR="00BD79E3" w:rsidRPr="00B33289">
        <w:rPr>
          <w:rFonts w:asciiTheme="minorHAnsi" w:hAnsiTheme="minorHAnsi" w:cstheme="minorHAnsi"/>
        </w:rPr>
        <w:t xml:space="preserve">are </w:t>
      </w:r>
      <w:r w:rsidR="00972110" w:rsidRPr="00B33289">
        <w:rPr>
          <w:rFonts w:asciiTheme="minorHAnsi" w:hAnsiTheme="minorHAnsi" w:cstheme="minorHAnsi"/>
        </w:rPr>
        <w:t>required to submit an Equal Opportunity and Non-Discrimination Questionnaire as well as participate in an on-site accessibility review of the training provider</w:t>
      </w:r>
      <w:r w:rsidR="00AC20BA" w:rsidRPr="00B33289">
        <w:rPr>
          <w:rFonts w:asciiTheme="minorHAnsi" w:hAnsiTheme="minorHAnsi" w:cstheme="minorHAnsi"/>
        </w:rPr>
        <w:t>/program</w:t>
      </w:r>
      <w:r w:rsidR="00972110" w:rsidRPr="00B33289">
        <w:rPr>
          <w:rFonts w:asciiTheme="minorHAnsi" w:hAnsiTheme="minorHAnsi" w:cstheme="minorHAnsi"/>
        </w:rPr>
        <w:t xml:space="preserve"> location</w:t>
      </w:r>
      <w:r w:rsidR="00F93017" w:rsidRPr="00B33289">
        <w:rPr>
          <w:rFonts w:asciiTheme="minorHAnsi" w:hAnsiTheme="minorHAnsi" w:cstheme="minorHAnsi"/>
        </w:rPr>
        <w:t>(s)</w:t>
      </w:r>
      <w:r w:rsidR="00972110" w:rsidRPr="00B33289">
        <w:rPr>
          <w:rFonts w:asciiTheme="minorHAnsi" w:hAnsiTheme="minorHAnsi" w:cstheme="minorHAnsi"/>
        </w:rPr>
        <w:t xml:space="preserve"> by </w:t>
      </w:r>
      <w:r w:rsidR="00B67B74">
        <w:rPr>
          <w:rFonts w:asciiTheme="minorHAnsi" w:hAnsiTheme="minorHAnsi" w:cstheme="minorHAnsi"/>
        </w:rPr>
        <w:t>Central Virginia</w:t>
      </w:r>
      <w:r w:rsidR="00972110" w:rsidRPr="00B33289">
        <w:rPr>
          <w:rFonts w:asciiTheme="minorHAnsi" w:hAnsiTheme="minorHAnsi" w:cstheme="minorHAnsi"/>
        </w:rPr>
        <w:t xml:space="preserve"> WDB staff.  </w:t>
      </w:r>
    </w:p>
    <w:p w14:paraId="7C9327FE" w14:textId="77777777" w:rsidR="00D90AA5" w:rsidRPr="00B33289" w:rsidRDefault="00D90AA5" w:rsidP="00E45B97">
      <w:pPr>
        <w:tabs>
          <w:tab w:val="left" w:pos="720"/>
          <w:tab w:val="left" w:pos="1170"/>
        </w:tabs>
        <w:spacing w:after="200" w:line="276" w:lineRule="auto"/>
        <w:contextualSpacing/>
        <w:rPr>
          <w:rFonts w:asciiTheme="minorHAnsi" w:hAnsiTheme="minorHAnsi" w:cstheme="minorHAnsi"/>
        </w:rPr>
      </w:pPr>
    </w:p>
    <w:p w14:paraId="3472455E" w14:textId="7CEC34A7" w:rsidR="00D90AA5" w:rsidRPr="00B33289" w:rsidRDefault="004C1D60" w:rsidP="00E45B97">
      <w:pPr>
        <w:tabs>
          <w:tab w:val="left" w:pos="720"/>
          <w:tab w:val="left" w:pos="1170"/>
        </w:tabs>
        <w:spacing w:after="200" w:line="276" w:lineRule="auto"/>
        <w:contextualSpacing/>
        <w:rPr>
          <w:rFonts w:asciiTheme="minorHAnsi" w:hAnsiTheme="minorHAnsi" w:cstheme="minorHAnsi"/>
        </w:rPr>
      </w:pPr>
      <w:r w:rsidRPr="00B33289">
        <w:rPr>
          <w:rFonts w:asciiTheme="minorHAnsi" w:hAnsiTheme="minorHAnsi" w:cstheme="minorHAnsi"/>
        </w:rPr>
        <w:t xml:space="preserve">All information gathered during the initial certification process including applications, performance, EO and ADA compliance and well as regional labor market projections will be considered by the </w:t>
      </w:r>
      <w:r w:rsidR="00B67B74">
        <w:rPr>
          <w:rFonts w:asciiTheme="minorHAnsi" w:hAnsiTheme="minorHAnsi" w:cstheme="minorHAnsi"/>
        </w:rPr>
        <w:t>Central Virginia</w:t>
      </w:r>
      <w:r w:rsidRPr="00B33289">
        <w:rPr>
          <w:rFonts w:asciiTheme="minorHAnsi" w:hAnsiTheme="minorHAnsi" w:cstheme="minorHAnsi"/>
        </w:rPr>
        <w:t xml:space="preserve"> WDB when considering approval for placement on the statewide ETPL. </w:t>
      </w:r>
      <w:r w:rsidR="00D90AA5" w:rsidRPr="00B33289">
        <w:rPr>
          <w:rFonts w:asciiTheme="minorHAnsi" w:hAnsiTheme="minorHAnsi" w:cstheme="minorHAnsi"/>
        </w:rPr>
        <w:t xml:space="preserve">Approval by </w:t>
      </w:r>
      <w:r w:rsidR="00B67B74">
        <w:rPr>
          <w:rFonts w:asciiTheme="minorHAnsi" w:hAnsiTheme="minorHAnsi" w:cstheme="minorHAnsi"/>
        </w:rPr>
        <w:t>Central Virginia</w:t>
      </w:r>
      <w:r w:rsidR="00D90AA5" w:rsidRPr="00B33289">
        <w:rPr>
          <w:rFonts w:asciiTheme="minorHAnsi" w:hAnsiTheme="minorHAnsi" w:cstheme="minorHAnsi"/>
        </w:rPr>
        <w:t xml:space="preserve"> WDB places the provider and program on the state ETPL but does not guarantee </w:t>
      </w:r>
      <w:r w:rsidR="00B67B74">
        <w:rPr>
          <w:rFonts w:asciiTheme="minorHAnsi" w:hAnsiTheme="minorHAnsi" w:cstheme="minorHAnsi"/>
        </w:rPr>
        <w:t>Central Virginia</w:t>
      </w:r>
      <w:r w:rsidR="00D90AA5" w:rsidRPr="00B33289">
        <w:rPr>
          <w:rFonts w:asciiTheme="minorHAnsi" w:hAnsiTheme="minorHAnsi" w:cstheme="minorHAnsi"/>
        </w:rPr>
        <w:t xml:space="preserve"> </w:t>
      </w:r>
      <w:r w:rsidR="00562805" w:rsidRPr="00B33289">
        <w:rPr>
          <w:rFonts w:asciiTheme="minorHAnsi" w:hAnsiTheme="minorHAnsi" w:cstheme="minorHAnsi"/>
        </w:rPr>
        <w:t xml:space="preserve">WDB </w:t>
      </w:r>
      <w:r w:rsidR="00D90AA5" w:rsidRPr="00B33289">
        <w:rPr>
          <w:rFonts w:asciiTheme="minorHAnsi" w:hAnsiTheme="minorHAnsi" w:cstheme="minorHAnsi"/>
        </w:rPr>
        <w:t xml:space="preserve">will fund the approved training activity through the issuance of an ITA. That determination is further based on relevance of the training to </w:t>
      </w:r>
      <w:r w:rsidR="009B7A29" w:rsidRPr="00B33289">
        <w:rPr>
          <w:rFonts w:asciiTheme="minorHAnsi" w:hAnsiTheme="minorHAnsi" w:cstheme="minorHAnsi"/>
        </w:rPr>
        <w:t xml:space="preserve">regional </w:t>
      </w:r>
      <w:r w:rsidR="00D90AA5" w:rsidRPr="00B33289">
        <w:rPr>
          <w:rFonts w:asciiTheme="minorHAnsi" w:hAnsiTheme="minorHAnsi" w:cstheme="minorHAnsi"/>
        </w:rPr>
        <w:t>demand occupatio</w:t>
      </w:r>
      <w:r w:rsidR="009B7A29" w:rsidRPr="00B33289">
        <w:rPr>
          <w:rFonts w:asciiTheme="minorHAnsi" w:hAnsiTheme="minorHAnsi" w:cstheme="minorHAnsi"/>
        </w:rPr>
        <w:t>ns</w:t>
      </w:r>
      <w:r w:rsidR="00D90AA5" w:rsidRPr="00B33289">
        <w:rPr>
          <w:rFonts w:asciiTheme="minorHAnsi" w:hAnsiTheme="minorHAnsi" w:cstheme="minorHAnsi"/>
        </w:rPr>
        <w:t>, availability of local funds, and</w:t>
      </w:r>
      <w:r w:rsidR="009B7A29" w:rsidRPr="00B33289">
        <w:rPr>
          <w:rFonts w:asciiTheme="minorHAnsi" w:hAnsiTheme="minorHAnsi" w:cstheme="minorHAnsi"/>
        </w:rPr>
        <w:t xml:space="preserve"> the</w:t>
      </w:r>
      <w:r w:rsidR="00D90AA5" w:rsidRPr="00B33289">
        <w:rPr>
          <w:rFonts w:asciiTheme="minorHAnsi" w:hAnsiTheme="minorHAnsi" w:cstheme="minorHAnsi"/>
        </w:rPr>
        <w:t xml:space="preserve"> likelihood that training will support the participant in meeting their career objectives and </w:t>
      </w:r>
      <w:r w:rsidR="002D1848" w:rsidRPr="00B33289">
        <w:rPr>
          <w:rFonts w:asciiTheme="minorHAnsi" w:hAnsiTheme="minorHAnsi" w:cstheme="minorHAnsi"/>
        </w:rPr>
        <w:t>lead to</w:t>
      </w:r>
      <w:r w:rsidR="003F756A" w:rsidRPr="00B33289">
        <w:rPr>
          <w:rFonts w:asciiTheme="minorHAnsi" w:hAnsiTheme="minorHAnsi" w:cstheme="minorHAnsi"/>
        </w:rPr>
        <w:t xml:space="preserve"> </w:t>
      </w:r>
      <w:r w:rsidR="009F487D" w:rsidRPr="00B33289">
        <w:rPr>
          <w:rFonts w:asciiTheme="minorHAnsi" w:hAnsiTheme="minorHAnsi" w:cstheme="minorHAnsi"/>
        </w:rPr>
        <w:t xml:space="preserve">self-sufficient </w:t>
      </w:r>
      <w:r w:rsidR="00D90AA5" w:rsidRPr="00B33289">
        <w:rPr>
          <w:rFonts w:asciiTheme="minorHAnsi" w:hAnsiTheme="minorHAnsi" w:cstheme="minorHAnsi"/>
        </w:rPr>
        <w:t xml:space="preserve">employment. </w:t>
      </w:r>
    </w:p>
    <w:p w14:paraId="76A0543C" w14:textId="77777777" w:rsidR="00D40B2D" w:rsidRDefault="00D40B2D" w:rsidP="00E45B97">
      <w:pPr>
        <w:tabs>
          <w:tab w:val="left" w:pos="720"/>
          <w:tab w:val="left" w:pos="1170"/>
        </w:tabs>
        <w:spacing w:after="200" w:line="276" w:lineRule="auto"/>
        <w:contextualSpacing/>
        <w:rPr>
          <w:rFonts w:asciiTheme="minorHAnsi" w:hAnsiTheme="minorHAnsi" w:cstheme="minorHAnsi"/>
        </w:rPr>
      </w:pPr>
    </w:p>
    <w:p w14:paraId="38EBA6E3" w14:textId="77777777" w:rsidR="00250346" w:rsidRDefault="00250346" w:rsidP="00E45B97">
      <w:pPr>
        <w:tabs>
          <w:tab w:val="left" w:pos="720"/>
          <w:tab w:val="left" w:pos="1170"/>
        </w:tabs>
        <w:spacing w:after="200" w:line="276" w:lineRule="auto"/>
        <w:contextualSpacing/>
        <w:rPr>
          <w:rFonts w:asciiTheme="minorHAnsi" w:hAnsiTheme="minorHAnsi" w:cstheme="minorHAnsi"/>
          <w:b/>
        </w:rPr>
      </w:pPr>
    </w:p>
    <w:p w14:paraId="2775DD90" w14:textId="77777777" w:rsidR="00AC20BA" w:rsidRDefault="00AC20BA" w:rsidP="00E45B97">
      <w:pPr>
        <w:tabs>
          <w:tab w:val="left" w:pos="720"/>
          <w:tab w:val="left" w:pos="1170"/>
        </w:tabs>
        <w:spacing w:after="200" w:line="276" w:lineRule="auto"/>
        <w:contextualSpacing/>
        <w:rPr>
          <w:rFonts w:asciiTheme="minorHAnsi" w:hAnsiTheme="minorHAnsi" w:cstheme="minorHAnsi"/>
          <w:b/>
        </w:rPr>
      </w:pPr>
    </w:p>
    <w:p w14:paraId="6FC19F9F" w14:textId="5C87ED38" w:rsidR="00AC20BA" w:rsidRDefault="00AC20BA" w:rsidP="00E45B97">
      <w:pPr>
        <w:tabs>
          <w:tab w:val="left" w:pos="720"/>
          <w:tab w:val="left" w:pos="1170"/>
        </w:tabs>
        <w:spacing w:after="200" w:line="276" w:lineRule="auto"/>
        <w:contextualSpacing/>
        <w:rPr>
          <w:rFonts w:asciiTheme="minorHAnsi" w:hAnsiTheme="minorHAnsi" w:cstheme="minorHAnsi"/>
          <w:b/>
        </w:rPr>
      </w:pPr>
      <w:r>
        <w:rPr>
          <w:rFonts w:asciiTheme="minorHAnsi" w:hAnsiTheme="minorHAnsi" w:cstheme="minorHAnsi"/>
          <w:b/>
        </w:rPr>
        <w:t>Registered Apprenticeship</w:t>
      </w:r>
      <w:r w:rsidR="0053678B">
        <w:rPr>
          <w:rFonts w:asciiTheme="minorHAnsi" w:hAnsiTheme="minorHAnsi" w:cstheme="minorHAnsi"/>
          <w:b/>
        </w:rPr>
        <w:t xml:space="preserve"> (RA)</w:t>
      </w:r>
      <w:r>
        <w:rPr>
          <w:rFonts w:asciiTheme="minorHAnsi" w:hAnsiTheme="minorHAnsi" w:cstheme="minorHAnsi"/>
          <w:b/>
        </w:rPr>
        <w:t>:</w:t>
      </w:r>
    </w:p>
    <w:p w14:paraId="6D0D739B" w14:textId="77777777" w:rsidR="0053678B" w:rsidRDefault="0053678B" w:rsidP="00E45B97">
      <w:pPr>
        <w:tabs>
          <w:tab w:val="left" w:pos="720"/>
          <w:tab w:val="left" w:pos="1170"/>
        </w:tabs>
        <w:spacing w:after="200" w:line="276" w:lineRule="auto"/>
        <w:contextualSpacing/>
        <w:rPr>
          <w:rFonts w:asciiTheme="minorHAnsi" w:hAnsiTheme="minorHAnsi" w:cstheme="minorHAnsi"/>
          <w:b/>
        </w:rPr>
      </w:pPr>
    </w:p>
    <w:p w14:paraId="49E59213" w14:textId="1B230C41" w:rsidR="0053678B" w:rsidRPr="0053678B" w:rsidRDefault="0053678B" w:rsidP="0053678B">
      <w:pPr>
        <w:tabs>
          <w:tab w:val="left" w:pos="720"/>
          <w:tab w:val="left" w:pos="1170"/>
        </w:tabs>
        <w:spacing w:after="200" w:line="276" w:lineRule="auto"/>
        <w:contextualSpacing/>
        <w:rPr>
          <w:rFonts w:asciiTheme="minorHAnsi" w:hAnsiTheme="minorHAnsi" w:cstheme="minorHAnsi"/>
        </w:rPr>
      </w:pPr>
      <w:r w:rsidRPr="0053678B">
        <w:rPr>
          <w:rFonts w:asciiTheme="minorHAnsi" w:hAnsiTheme="minorHAnsi" w:cstheme="minorHAnsi"/>
        </w:rPr>
        <w:t xml:space="preserve">RA program sponsors that would like to be included on the state Eligible Training Provider List (ETPL) </w:t>
      </w:r>
      <w:r>
        <w:rPr>
          <w:rFonts w:asciiTheme="minorHAnsi" w:hAnsiTheme="minorHAnsi" w:cstheme="minorHAnsi"/>
        </w:rPr>
        <w:t xml:space="preserve">in </w:t>
      </w:r>
      <w:r w:rsidR="00B67B74">
        <w:rPr>
          <w:rFonts w:asciiTheme="minorHAnsi" w:hAnsiTheme="minorHAnsi" w:cstheme="minorHAnsi"/>
        </w:rPr>
        <w:t xml:space="preserve">Central </w:t>
      </w:r>
      <w:r>
        <w:rPr>
          <w:rFonts w:asciiTheme="minorHAnsi" w:hAnsiTheme="minorHAnsi" w:cstheme="minorHAnsi"/>
        </w:rPr>
        <w:t xml:space="preserve">Region must apply through the </w:t>
      </w:r>
      <w:r w:rsidR="00B67B74">
        <w:rPr>
          <w:rFonts w:asciiTheme="minorHAnsi" w:hAnsiTheme="minorHAnsi" w:cstheme="minorHAnsi"/>
        </w:rPr>
        <w:t>Central Virginia</w:t>
      </w:r>
      <w:r>
        <w:rPr>
          <w:rFonts w:asciiTheme="minorHAnsi" w:hAnsiTheme="minorHAnsi" w:cstheme="minorHAnsi"/>
        </w:rPr>
        <w:t xml:space="preserve"> WDB </w:t>
      </w:r>
      <w:r w:rsidRPr="0053678B">
        <w:rPr>
          <w:rFonts w:asciiTheme="minorHAnsi" w:hAnsiTheme="minorHAnsi" w:cstheme="minorHAnsi"/>
        </w:rPr>
        <w:t>using a common statewide application</w:t>
      </w:r>
      <w:r>
        <w:rPr>
          <w:rFonts w:asciiTheme="minorHAnsi" w:hAnsiTheme="minorHAnsi" w:cstheme="minorHAnsi"/>
        </w:rPr>
        <w:t xml:space="preserve">. </w:t>
      </w:r>
      <w:r w:rsidRPr="0053678B">
        <w:rPr>
          <w:rFonts w:asciiTheme="minorHAnsi" w:hAnsiTheme="minorHAnsi" w:cstheme="minorHAnsi"/>
        </w:rPr>
        <w:t xml:space="preserve">Following the receipt of a </w:t>
      </w:r>
      <w:r w:rsidR="00DD0C9B">
        <w:rPr>
          <w:rFonts w:asciiTheme="minorHAnsi" w:hAnsiTheme="minorHAnsi" w:cstheme="minorHAnsi"/>
        </w:rPr>
        <w:t xml:space="preserve">completed application, </w:t>
      </w:r>
      <w:r w:rsidR="00B67B74" w:rsidRPr="00B67B74">
        <w:rPr>
          <w:rFonts w:asciiTheme="minorHAnsi" w:hAnsiTheme="minorHAnsi" w:cstheme="minorHAnsi"/>
        </w:rPr>
        <w:t xml:space="preserve">Central Virginia </w:t>
      </w:r>
      <w:r w:rsidR="00DD0C9B">
        <w:rPr>
          <w:rFonts w:asciiTheme="minorHAnsi" w:hAnsiTheme="minorHAnsi" w:cstheme="minorHAnsi"/>
        </w:rPr>
        <w:t xml:space="preserve">WDB </w:t>
      </w:r>
      <w:r w:rsidRPr="0053678B">
        <w:rPr>
          <w:rFonts w:asciiTheme="minorHAnsi" w:hAnsiTheme="minorHAnsi" w:cstheme="minorHAnsi"/>
        </w:rPr>
        <w:t>will request, in writing, verification from the DOLI/Registered Apprenticeship Office that the program sponsor is active and in good standing. Follo</w:t>
      </w:r>
      <w:r w:rsidR="00DD0C9B">
        <w:rPr>
          <w:rFonts w:asciiTheme="minorHAnsi" w:hAnsiTheme="minorHAnsi" w:cstheme="minorHAnsi"/>
        </w:rPr>
        <w:t xml:space="preserve">wing that confirmation, </w:t>
      </w:r>
      <w:r w:rsidR="00B67B74" w:rsidRPr="00B67B74">
        <w:rPr>
          <w:rFonts w:asciiTheme="minorHAnsi" w:hAnsiTheme="minorHAnsi" w:cstheme="minorHAnsi"/>
        </w:rPr>
        <w:t xml:space="preserve">Central Virginia </w:t>
      </w:r>
      <w:r>
        <w:rPr>
          <w:rFonts w:asciiTheme="minorHAnsi" w:hAnsiTheme="minorHAnsi" w:cstheme="minorHAnsi"/>
        </w:rPr>
        <w:t>WDB</w:t>
      </w:r>
      <w:r w:rsidRPr="0053678B">
        <w:rPr>
          <w:rFonts w:asciiTheme="minorHAnsi" w:hAnsiTheme="minorHAnsi" w:cstheme="minorHAnsi"/>
        </w:rPr>
        <w:t xml:space="preserve"> will add the RA program information to the state ETPL</w:t>
      </w:r>
    </w:p>
    <w:p w14:paraId="1996E7C5" w14:textId="447E49EB" w:rsidR="00AC20BA" w:rsidRDefault="0053678B" w:rsidP="00E45B97">
      <w:pPr>
        <w:tabs>
          <w:tab w:val="left" w:pos="720"/>
          <w:tab w:val="left" w:pos="1170"/>
        </w:tabs>
        <w:spacing w:after="200" w:line="276" w:lineRule="auto"/>
        <w:contextualSpacing/>
        <w:rPr>
          <w:rFonts w:asciiTheme="minorHAnsi" w:hAnsiTheme="minorHAnsi" w:cstheme="minorHAnsi"/>
          <w:b/>
        </w:rPr>
      </w:pPr>
      <w:r>
        <w:rPr>
          <w:rFonts w:asciiTheme="minorHAnsi" w:hAnsiTheme="minorHAnsi" w:cstheme="minorHAnsi"/>
        </w:rPr>
        <w:t xml:space="preserve"> </w:t>
      </w:r>
    </w:p>
    <w:p w14:paraId="7FCC6B11" w14:textId="5738EC47" w:rsidR="00D40B2D" w:rsidRDefault="00D40B2D" w:rsidP="00E45B97">
      <w:pPr>
        <w:tabs>
          <w:tab w:val="left" w:pos="720"/>
          <w:tab w:val="left" w:pos="1170"/>
        </w:tabs>
        <w:spacing w:after="200" w:line="276" w:lineRule="auto"/>
        <w:contextualSpacing/>
        <w:rPr>
          <w:rFonts w:asciiTheme="minorHAnsi" w:hAnsiTheme="minorHAnsi" w:cstheme="minorHAnsi"/>
          <w:b/>
        </w:rPr>
      </w:pPr>
      <w:r w:rsidRPr="00D40B2D">
        <w:rPr>
          <w:rFonts w:asciiTheme="minorHAnsi" w:hAnsiTheme="minorHAnsi" w:cstheme="minorHAnsi"/>
          <w:b/>
        </w:rPr>
        <w:t>Renewal Certification:</w:t>
      </w:r>
    </w:p>
    <w:p w14:paraId="36E90674" w14:textId="77777777" w:rsidR="009F487D" w:rsidRDefault="009F487D" w:rsidP="00E45B97">
      <w:pPr>
        <w:tabs>
          <w:tab w:val="left" w:pos="720"/>
          <w:tab w:val="left" w:pos="1170"/>
        </w:tabs>
        <w:spacing w:after="200" w:line="276" w:lineRule="auto"/>
        <w:contextualSpacing/>
        <w:rPr>
          <w:rFonts w:asciiTheme="minorHAnsi" w:hAnsiTheme="minorHAnsi" w:cstheme="minorHAnsi"/>
          <w:b/>
        </w:rPr>
      </w:pPr>
    </w:p>
    <w:p w14:paraId="21A5D57A" w14:textId="2EB496AE" w:rsidR="007E08E7" w:rsidRDefault="009F487D" w:rsidP="007E08E7">
      <w:pPr>
        <w:rPr>
          <w:color w:val="000000"/>
        </w:rPr>
      </w:pPr>
      <w:r>
        <w:rPr>
          <w:color w:val="000000"/>
        </w:rPr>
        <w:t xml:space="preserve">The </w:t>
      </w:r>
      <w:r w:rsidR="00B67B74" w:rsidRPr="00B67B74">
        <w:rPr>
          <w:color w:val="000000"/>
        </w:rPr>
        <w:t xml:space="preserve">Central Virginia </w:t>
      </w:r>
      <w:r>
        <w:rPr>
          <w:color w:val="000000"/>
        </w:rPr>
        <w:t xml:space="preserve">WDB </w:t>
      </w:r>
      <w:r w:rsidRPr="009F487D">
        <w:rPr>
          <w:color w:val="000000"/>
        </w:rPr>
        <w:t>will request renewal verification and program performance</w:t>
      </w:r>
      <w:r w:rsidR="004B4D3C">
        <w:rPr>
          <w:color w:val="000000"/>
        </w:rPr>
        <w:t xml:space="preserve"> </w:t>
      </w:r>
      <w:r w:rsidR="007E08E7" w:rsidRPr="007E08E7">
        <w:rPr>
          <w:color w:val="000000"/>
        </w:rPr>
        <w:t>for participants whose activities were funded through an Individual Training Account (ITA)</w:t>
      </w:r>
      <w:r w:rsidR="007E08E7">
        <w:rPr>
          <w:color w:val="000000"/>
        </w:rPr>
        <w:t>)</w:t>
      </w:r>
      <w:r w:rsidR="004B4D3C">
        <w:rPr>
          <w:color w:val="000000"/>
        </w:rPr>
        <w:t xml:space="preserve"> from </w:t>
      </w:r>
      <w:r w:rsidRPr="009F487D">
        <w:rPr>
          <w:color w:val="000000"/>
        </w:rPr>
        <w:t>providers/programs using a s</w:t>
      </w:r>
      <w:r w:rsidR="007E08E7">
        <w:rPr>
          <w:color w:val="000000"/>
        </w:rPr>
        <w:t>tandard</w:t>
      </w:r>
      <w:r w:rsidRPr="009F487D">
        <w:rPr>
          <w:color w:val="000000"/>
        </w:rPr>
        <w:t xml:space="preserve"> template and procedure. Providers of training who fail to provide the verification and performance information within 90 days of request will be removed from the state eligible training provider list.</w:t>
      </w:r>
      <w:r w:rsidR="004B4D3C">
        <w:rPr>
          <w:color w:val="000000"/>
        </w:rPr>
        <w:t xml:space="preserve"> I</w:t>
      </w:r>
      <w:r w:rsidR="007E08E7" w:rsidRPr="007E08E7">
        <w:rPr>
          <w:color w:val="000000"/>
        </w:rPr>
        <w:t>n the absence of any performance data, the provider must develop methods for collecting the required program performance information to remain on the ETPL and to be consid</w:t>
      </w:r>
      <w:r w:rsidR="004B4D3C">
        <w:rPr>
          <w:color w:val="000000"/>
        </w:rPr>
        <w:t>ered for continued eligibility.</w:t>
      </w:r>
    </w:p>
    <w:p w14:paraId="3F554548" w14:textId="77777777" w:rsidR="00E32239" w:rsidRDefault="00E32239" w:rsidP="007E08E7">
      <w:pPr>
        <w:rPr>
          <w:color w:val="000000"/>
        </w:rPr>
      </w:pPr>
    </w:p>
    <w:p w14:paraId="454FA868" w14:textId="6618E3C4" w:rsidR="00E32239" w:rsidRDefault="00B67B74" w:rsidP="007E08E7">
      <w:pPr>
        <w:rPr>
          <w:color w:val="000000"/>
        </w:rPr>
      </w:pPr>
      <w:r w:rsidRPr="00B67B74">
        <w:rPr>
          <w:color w:val="000000"/>
        </w:rPr>
        <w:t xml:space="preserve">Central Virginia </w:t>
      </w:r>
      <w:r w:rsidR="00E32239">
        <w:rPr>
          <w:color w:val="000000"/>
        </w:rPr>
        <w:t>WDB will consider the following data when granting renewal certifications:</w:t>
      </w:r>
    </w:p>
    <w:p w14:paraId="1BFC820A" w14:textId="77777777" w:rsidR="00E32239" w:rsidRDefault="00E32239" w:rsidP="007E08E7">
      <w:pPr>
        <w:rPr>
          <w:color w:val="000000"/>
        </w:rPr>
      </w:pPr>
    </w:p>
    <w:p w14:paraId="6E3B5A83" w14:textId="1BDA98B7" w:rsidR="00E32239" w:rsidRDefault="00E32239" w:rsidP="00E32239">
      <w:pPr>
        <w:pStyle w:val="ListParagraph"/>
        <w:numPr>
          <w:ilvl w:val="0"/>
          <w:numId w:val="31"/>
        </w:numPr>
        <w:rPr>
          <w:color w:val="000000"/>
        </w:rPr>
      </w:pPr>
      <w:r>
        <w:rPr>
          <w:color w:val="000000"/>
        </w:rPr>
        <w:t>Program performance data obtained from the State’s ETP Program Performance Quarterly Report</w:t>
      </w:r>
    </w:p>
    <w:p w14:paraId="74347788" w14:textId="18320CEB" w:rsidR="00E32239" w:rsidRDefault="00E32239" w:rsidP="00E32239">
      <w:pPr>
        <w:pStyle w:val="ListParagraph"/>
        <w:numPr>
          <w:ilvl w:val="0"/>
          <w:numId w:val="31"/>
        </w:numPr>
        <w:rPr>
          <w:color w:val="000000"/>
        </w:rPr>
      </w:pPr>
      <w:r>
        <w:rPr>
          <w:color w:val="000000"/>
        </w:rPr>
        <w:t>Program performance submitted by the ETP as per WIOA</w:t>
      </w:r>
    </w:p>
    <w:p w14:paraId="2C216525" w14:textId="035E4C04" w:rsidR="00E32239" w:rsidRDefault="00A478A5" w:rsidP="00E32239">
      <w:pPr>
        <w:pStyle w:val="ListParagraph"/>
        <w:numPr>
          <w:ilvl w:val="0"/>
          <w:numId w:val="31"/>
        </w:numPr>
        <w:rPr>
          <w:color w:val="000000"/>
        </w:rPr>
      </w:pPr>
      <w:r>
        <w:rPr>
          <w:color w:val="000000"/>
        </w:rPr>
        <w:t>WIOA Section 188 and ADA Compliance</w:t>
      </w:r>
    </w:p>
    <w:p w14:paraId="1F1BAA3B" w14:textId="482807CA" w:rsidR="00A478A5" w:rsidRDefault="00A478A5" w:rsidP="00E32239">
      <w:pPr>
        <w:pStyle w:val="ListParagraph"/>
        <w:numPr>
          <w:ilvl w:val="0"/>
          <w:numId w:val="31"/>
        </w:numPr>
        <w:rPr>
          <w:color w:val="000000"/>
        </w:rPr>
      </w:pPr>
      <w:r>
        <w:rPr>
          <w:color w:val="000000"/>
        </w:rPr>
        <w:t>Region</w:t>
      </w:r>
      <w:r w:rsidR="007F5BB1">
        <w:rPr>
          <w:color w:val="000000"/>
        </w:rPr>
        <w:t>al</w:t>
      </w:r>
      <w:r>
        <w:rPr>
          <w:color w:val="000000"/>
        </w:rPr>
        <w:t xml:space="preserve"> labor market information to determine in-demand status and other related data</w:t>
      </w:r>
    </w:p>
    <w:p w14:paraId="113B92EB" w14:textId="77777777" w:rsidR="009B308F" w:rsidRDefault="009B308F" w:rsidP="009B308F">
      <w:pPr>
        <w:rPr>
          <w:color w:val="000000"/>
        </w:rPr>
      </w:pPr>
    </w:p>
    <w:p w14:paraId="2498D77A" w14:textId="168F24CF" w:rsidR="009B308F" w:rsidRPr="009B308F" w:rsidRDefault="009B308F" w:rsidP="009B308F">
      <w:pPr>
        <w:rPr>
          <w:color w:val="000000"/>
          <w:u w:val="single"/>
        </w:rPr>
      </w:pPr>
      <w:r w:rsidRPr="009B308F">
        <w:rPr>
          <w:color w:val="000000"/>
          <w:u w:val="single"/>
        </w:rPr>
        <w:t>Program Performance</w:t>
      </w:r>
    </w:p>
    <w:p w14:paraId="62D1AECB" w14:textId="77777777" w:rsidR="007F5BB1" w:rsidRDefault="007F5BB1" w:rsidP="007F5BB1">
      <w:pPr>
        <w:rPr>
          <w:color w:val="000000"/>
        </w:rPr>
      </w:pPr>
    </w:p>
    <w:p w14:paraId="50367F24" w14:textId="54CFB000" w:rsidR="007F5BB1" w:rsidRPr="007F5BB1" w:rsidRDefault="007F5BB1" w:rsidP="007F5BB1">
      <w:pPr>
        <w:rPr>
          <w:color w:val="000000"/>
        </w:rPr>
      </w:pPr>
      <w:r w:rsidRPr="007F5BB1">
        <w:rPr>
          <w:color w:val="000000"/>
        </w:rPr>
        <w:t xml:space="preserve">Beginning with Program Year 2017, in order to remain on the ETPL, all eligible training providers and programs who receive funding through an ITA must annually validate performance information (starting with PY16 information) on the following four outcomes for WIOA Title I participants: </w:t>
      </w:r>
    </w:p>
    <w:p w14:paraId="55B8783F" w14:textId="77777777" w:rsidR="007F5BB1" w:rsidRPr="007F5BB1" w:rsidRDefault="007F5BB1" w:rsidP="007F5BB1">
      <w:pPr>
        <w:rPr>
          <w:color w:val="000000"/>
        </w:rPr>
      </w:pPr>
      <w:r w:rsidRPr="007F5BB1">
        <w:rPr>
          <w:color w:val="000000"/>
        </w:rPr>
        <w:t xml:space="preserve"> </w:t>
      </w:r>
    </w:p>
    <w:p w14:paraId="20E9DF82" w14:textId="77777777" w:rsidR="007F5BB1" w:rsidRPr="007F5BB1" w:rsidRDefault="007F5BB1" w:rsidP="007F5BB1">
      <w:pPr>
        <w:rPr>
          <w:color w:val="000000"/>
        </w:rPr>
      </w:pPr>
      <w:r w:rsidRPr="007F5BB1">
        <w:rPr>
          <w:color w:val="000000"/>
        </w:rPr>
        <w:t xml:space="preserve">1. </w:t>
      </w:r>
      <w:r w:rsidRPr="009B308F">
        <w:rPr>
          <w:i/>
          <w:color w:val="000000"/>
        </w:rPr>
        <w:t>Training Completion Rate must meet or exceed 50%</w:t>
      </w:r>
      <w:r w:rsidRPr="007F5BB1">
        <w:rPr>
          <w:color w:val="000000"/>
        </w:rPr>
        <w:t xml:space="preserve"> – the number of participants during a Program Year (July 1 through June 30) who were enrolled in a Title I funded training service who successfully met all of the requirements of the training activity.   </w:t>
      </w:r>
    </w:p>
    <w:p w14:paraId="473030CE" w14:textId="77777777" w:rsidR="007F5BB1" w:rsidRPr="007F5BB1" w:rsidRDefault="007F5BB1" w:rsidP="007F5BB1">
      <w:pPr>
        <w:rPr>
          <w:color w:val="000000"/>
        </w:rPr>
      </w:pPr>
      <w:r w:rsidRPr="007F5BB1">
        <w:rPr>
          <w:color w:val="000000"/>
        </w:rPr>
        <w:t xml:space="preserve"> </w:t>
      </w:r>
    </w:p>
    <w:p w14:paraId="1ECD199E" w14:textId="77777777" w:rsidR="007F5BB1" w:rsidRPr="007F5BB1" w:rsidRDefault="007F5BB1" w:rsidP="007F5BB1">
      <w:pPr>
        <w:rPr>
          <w:color w:val="000000"/>
        </w:rPr>
      </w:pPr>
      <w:r w:rsidRPr="007F5BB1">
        <w:rPr>
          <w:color w:val="000000"/>
        </w:rPr>
        <w:t xml:space="preserve">For calculation purposes:  </w:t>
      </w:r>
    </w:p>
    <w:p w14:paraId="3D5C8084" w14:textId="77777777" w:rsidR="007F5BB1" w:rsidRPr="007F5BB1" w:rsidRDefault="007F5BB1" w:rsidP="007F5BB1">
      <w:pPr>
        <w:rPr>
          <w:color w:val="000000"/>
        </w:rPr>
      </w:pPr>
      <w:r w:rsidRPr="007F5BB1">
        <w:rPr>
          <w:color w:val="000000"/>
        </w:rPr>
        <w:t xml:space="preserve"> </w:t>
      </w:r>
    </w:p>
    <w:p w14:paraId="20BB11AF" w14:textId="77777777" w:rsidR="007F5BB1" w:rsidRPr="007F5BB1" w:rsidRDefault="007F5BB1" w:rsidP="007F5BB1">
      <w:pPr>
        <w:rPr>
          <w:color w:val="000000"/>
        </w:rPr>
      </w:pPr>
      <w:r w:rsidRPr="007F5BB1">
        <w:rPr>
          <w:color w:val="000000"/>
        </w:rPr>
        <w:t xml:space="preserve">All participants who received an ITA (Service Code 300-Occupational Skills Training-Approved Training Provider activity): </w:t>
      </w:r>
    </w:p>
    <w:p w14:paraId="43A23639" w14:textId="77777777" w:rsidR="007F5BB1" w:rsidRPr="007F5BB1" w:rsidRDefault="007F5BB1" w:rsidP="007F5BB1">
      <w:pPr>
        <w:rPr>
          <w:color w:val="000000"/>
        </w:rPr>
      </w:pPr>
      <w:r w:rsidRPr="007F5BB1">
        <w:rPr>
          <w:color w:val="000000"/>
        </w:rPr>
        <w:t xml:space="preserve"> </w:t>
      </w:r>
    </w:p>
    <w:p w14:paraId="410705C5" w14:textId="77777777" w:rsidR="007F5BB1" w:rsidRPr="007F5BB1" w:rsidRDefault="007F5BB1" w:rsidP="007F5BB1">
      <w:pPr>
        <w:rPr>
          <w:color w:val="000000"/>
        </w:rPr>
      </w:pPr>
      <w:r w:rsidRPr="007F5BB1">
        <w:rPr>
          <w:color w:val="000000"/>
        </w:rPr>
        <w:t xml:space="preserve">The number who successfully completed the ITA service during the program year divided by the total number of participants who were actively engaged in an ITA during the program year minus the number of participants who are still active in the ITA training program.   </w:t>
      </w:r>
    </w:p>
    <w:p w14:paraId="457520F8" w14:textId="77777777" w:rsidR="007F5BB1" w:rsidRPr="007F5BB1" w:rsidRDefault="007F5BB1" w:rsidP="007F5BB1">
      <w:pPr>
        <w:rPr>
          <w:color w:val="000000"/>
        </w:rPr>
      </w:pPr>
      <w:r w:rsidRPr="007F5BB1">
        <w:rPr>
          <w:color w:val="000000"/>
        </w:rPr>
        <w:t xml:space="preserve"> </w:t>
      </w:r>
    </w:p>
    <w:p w14:paraId="397EB218" w14:textId="77777777" w:rsidR="007F5BB1" w:rsidRPr="007F5BB1" w:rsidRDefault="007F5BB1" w:rsidP="007F5BB1">
      <w:pPr>
        <w:rPr>
          <w:color w:val="000000"/>
        </w:rPr>
      </w:pPr>
      <w:r w:rsidRPr="007F5BB1">
        <w:rPr>
          <w:color w:val="000000"/>
        </w:rPr>
        <w:t xml:space="preserve">The deduction of those still active in the ITA training program is being done to avoid penalizing the providers if they had any participants who had not completed because they were still active in the training. </w:t>
      </w:r>
    </w:p>
    <w:p w14:paraId="4C83210E" w14:textId="77777777" w:rsidR="007F5BB1" w:rsidRPr="007F5BB1" w:rsidRDefault="007F5BB1" w:rsidP="007F5BB1">
      <w:pPr>
        <w:rPr>
          <w:color w:val="000000"/>
        </w:rPr>
      </w:pPr>
      <w:r w:rsidRPr="007F5BB1">
        <w:rPr>
          <w:color w:val="000000"/>
        </w:rPr>
        <w:t xml:space="preserve"> </w:t>
      </w:r>
    </w:p>
    <w:p w14:paraId="5D97E3DC" w14:textId="77777777" w:rsidR="007F5BB1" w:rsidRPr="007F5BB1" w:rsidRDefault="007F5BB1" w:rsidP="007F5BB1">
      <w:pPr>
        <w:rPr>
          <w:color w:val="000000"/>
        </w:rPr>
      </w:pPr>
      <w:r w:rsidRPr="007F5BB1">
        <w:rPr>
          <w:color w:val="000000"/>
        </w:rPr>
        <w:t xml:space="preserve">The measure will be calculated for Title I Adult and Dislocated Worker program participants separately.  </w:t>
      </w:r>
    </w:p>
    <w:p w14:paraId="270D5D98" w14:textId="77777777" w:rsidR="007F5BB1" w:rsidRPr="007F5BB1" w:rsidRDefault="007F5BB1" w:rsidP="007F5BB1">
      <w:pPr>
        <w:rPr>
          <w:color w:val="000000"/>
        </w:rPr>
      </w:pPr>
      <w:r w:rsidRPr="007F5BB1">
        <w:rPr>
          <w:color w:val="000000"/>
        </w:rPr>
        <w:t xml:space="preserve"> </w:t>
      </w:r>
    </w:p>
    <w:p w14:paraId="46CC4E8F" w14:textId="77777777" w:rsidR="007F5BB1" w:rsidRPr="007F5BB1" w:rsidRDefault="007F5BB1" w:rsidP="007F5BB1">
      <w:pPr>
        <w:rPr>
          <w:color w:val="000000"/>
        </w:rPr>
      </w:pPr>
      <w:r w:rsidRPr="007F5BB1">
        <w:rPr>
          <w:color w:val="000000"/>
        </w:rPr>
        <w:lastRenderedPageBreak/>
        <w:t>Successful completion means – the participant has met all requirements of the training paid for by an ITA.  This will be measured using the Completion Status in the service closure process within the Virginia Workforce Connection (</w:t>
      </w:r>
      <w:proofErr w:type="spellStart"/>
      <w:r w:rsidRPr="007F5BB1">
        <w:rPr>
          <w:color w:val="000000"/>
        </w:rPr>
        <w:t>VaWC</w:t>
      </w:r>
      <w:proofErr w:type="spellEnd"/>
      <w:r w:rsidRPr="007F5BB1">
        <w:rPr>
          <w:color w:val="000000"/>
        </w:rPr>
        <w:t xml:space="preserve">). </w:t>
      </w:r>
    </w:p>
    <w:p w14:paraId="26EEA296" w14:textId="77777777" w:rsidR="007F5BB1" w:rsidRPr="007F5BB1" w:rsidRDefault="007F5BB1" w:rsidP="007F5BB1">
      <w:pPr>
        <w:rPr>
          <w:color w:val="000000"/>
        </w:rPr>
      </w:pPr>
      <w:r w:rsidRPr="007F5BB1">
        <w:rPr>
          <w:color w:val="000000"/>
        </w:rPr>
        <w:t xml:space="preserve"> </w:t>
      </w:r>
    </w:p>
    <w:p w14:paraId="5CAE2D85" w14:textId="77777777" w:rsidR="007F5BB1" w:rsidRPr="007F5BB1" w:rsidRDefault="007F5BB1" w:rsidP="007F5BB1">
      <w:pPr>
        <w:rPr>
          <w:color w:val="000000"/>
        </w:rPr>
      </w:pPr>
      <w:r w:rsidRPr="007F5BB1">
        <w:rPr>
          <w:color w:val="000000"/>
        </w:rPr>
        <w:t xml:space="preserve"> </w:t>
      </w:r>
    </w:p>
    <w:p w14:paraId="21153E3B" w14:textId="77777777" w:rsidR="007F5BB1" w:rsidRPr="007F5BB1" w:rsidRDefault="007F5BB1" w:rsidP="007F5BB1">
      <w:pPr>
        <w:rPr>
          <w:color w:val="000000"/>
        </w:rPr>
      </w:pPr>
      <w:r w:rsidRPr="007F5BB1">
        <w:rPr>
          <w:color w:val="000000"/>
        </w:rPr>
        <w:t>2</w:t>
      </w:r>
      <w:r w:rsidRPr="009B308F">
        <w:rPr>
          <w:i/>
          <w:color w:val="000000"/>
        </w:rPr>
        <w:t>. Credential Attainment Rate must meet or exceed 65%–</w:t>
      </w:r>
      <w:r w:rsidRPr="007F5BB1">
        <w:rPr>
          <w:color w:val="000000"/>
        </w:rPr>
        <w:t xml:space="preserve"> of those who completed Service Code 300 during the Program Year or within one year after exit from the program, the number who attained Credentials during that same period. </w:t>
      </w:r>
    </w:p>
    <w:p w14:paraId="47011B06" w14:textId="77777777" w:rsidR="007F5BB1" w:rsidRPr="007F5BB1" w:rsidRDefault="007F5BB1" w:rsidP="007F5BB1">
      <w:pPr>
        <w:rPr>
          <w:color w:val="000000"/>
        </w:rPr>
      </w:pPr>
      <w:r w:rsidRPr="007F5BB1">
        <w:rPr>
          <w:color w:val="000000"/>
        </w:rPr>
        <w:t xml:space="preserve"> </w:t>
      </w:r>
    </w:p>
    <w:p w14:paraId="10769ADC" w14:textId="77777777" w:rsidR="007F5BB1" w:rsidRPr="007F5BB1" w:rsidRDefault="007F5BB1" w:rsidP="007F5BB1">
      <w:pPr>
        <w:rPr>
          <w:color w:val="000000"/>
        </w:rPr>
      </w:pPr>
      <w:r w:rsidRPr="007F5BB1">
        <w:rPr>
          <w:color w:val="000000"/>
        </w:rPr>
        <w:t xml:space="preserve">For calculation purposes: </w:t>
      </w:r>
    </w:p>
    <w:p w14:paraId="311FB00E" w14:textId="77777777" w:rsidR="007F5BB1" w:rsidRPr="007F5BB1" w:rsidRDefault="007F5BB1" w:rsidP="007F5BB1">
      <w:pPr>
        <w:rPr>
          <w:color w:val="000000"/>
        </w:rPr>
      </w:pPr>
      <w:r w:rsidRPr="007F5BB1">
        <w:rPr>
          <w:color w:val="000000"/>
        </w:rPr>
        <w:t xml:space="preserve"> </w:t>
      </w:r>
    </w:p>
    <w:p w14:paraId="27B1E387" w14:textId="77777777" w:rsidR="007F5BB1" w:rsidRPr="007F5BB1" w:rsidRDefault="007F5BB1" w:rsidP="007F5BB1">
      <w:pPr>
        <w:rPr>
          <w:color w:val="000000"/>
        </w:rPr>
      </w:pPr>
      <w:r w:rsidRPr="007F5BB1">
        <w:rPr>
          <w:color w:val="000000"/>
        </w:rPr>
        <w:t xml:space="preserve">Number of participants who successfully completed a Service Code 300 activity and attained an occupational certificate during the program or within one year after program exit. Divided by the number of participants who complete a Service Code 300 activity and exited during the program reporting period. </w:t>
      </w:r>
    </w:p>
    <w:p w14:paraId="6E726EBB" w14:textId="77777777" w:rsidR="007F5BB1" w:rsidRPr="007F5BB1" w:rsidRDefault="007F5BB1" w:rsidP="007F5BB1">
      <w:pPr>
        <w:rPr>
          <w:color w:val="000000"/>
        </w:rPr>
      </w:pPr>
      <w:r w:rsidRPr="007F5BB1">
        <w:rPr>
          <w:color w:val="000000"/>
        </w:rPr>
        <w:t xml:space="preserve"> </w:t>
      </w:r>
    </w:p>
    <w:p w14:paraId="370F0115" w14:textId="77777777" w:rsidR="007F5BB1" w:rsidRPr="007F5BB1" w:rsidRDefault="007F5BB1" w:rsidP="007F5BB1">
      <w:pPr>
        <w:rPr>
          <w:color w:val="000000"/>
        </w:rPr>
      </w:pPr>
      <w:r w:rsidRPr="007F5BB1">
        <w:rPr>
          <w:color w:val="000000"/>
        </w:rPr>
        <w:t xml:space="preserve">This measure will be calculated for Title I Adult and Dislocated Worker program participants separately. The denominator is the numerator from the Training Completion Rate. </w:t>
      </w:r>
    </w:p>
    <w:p w14:paraId="55A953ED" w14:textId="77777777" w:rsidR="007F5BB1" w:rsidRPr="007F5BB1" w:rsidRDefault="007F5BB1" w:rsidP="007F5BB1">
      <w:pPr>
        <w:rPr>
          <w:color w:val="000000"/>
        </w:rPr>
      </w:pPr>
      <w:r w:rsidRPr="007F5BB1">
        <w:rPr>
          <w:color w:val="000000"/>
        </w:rPr>
        <w:t xml:space="preserve"> </w:t>
      </w:r>
    </w:p>
    <w:p w14:paraId="5C058802" w14:textId="77777777" w:rsidR="007F5BB1" w:rsidRPr="007F5BB1" w:rsidRDefault="007F5BB1" w:rsidP="007F5BB1">
      <w:pPr>
        <w:rPr>
          <w:color w:val="000000"/>
        </w:rPr>
      </w:pPr>
      <w:r w:rsidRPr="007F5BB1">
        <w:rPr>
          <w:color w:val="000000"/>
        </w:rPr>
        <w:t xml:space="preserve"> </w:t>
      </w:r>
    </w:p>
    <w:p w14:paraId="5B3F978E" w14:textId="77777777" w:rsidR="007F5BB1" w:rsidRPr="007F5BB1" w:rsidRDefault="007F5BB1" w:rsidP="007F5BB1">
      <w:pPr>
        <w:rPr>
          <w:color w:val="000000"/>
        </w:rPr>
      </w:pPr>
      <w:r w:rsidRPr="007F5BB1">
        <w:rPr>
          <w:color w:val="000000"/>
        </w:rPr>
        <w:t xml:space="preserve">3. </w:t>
      </w:r>
      <w:r w:rsidRPr="009B308F">
        <w:rPr>
          <w:i/>
          <w:color w:val="000000"/>
        </w:rPr>
        <w:t>Entered Employment Rates</w:t>
      </w:r>
      <w:r w:rsidRPr="007F5BB1">
        <w:rPr>
          <w:color w:val="000000"/>
        </w:rPr>
        <w:t xml:space="preserve"> – Will be reported as 1) the number of participants who received an ITA and who are employed in the second quarter after the exit quarter and 2) the number of participants who received an ITA and who are employed in the fourth quarter after the exit quarter.  </w:t>
      </w:r>
    </w:p>
    <w:p w14:paraId="31A612D4" w14:textId="77777777" w:rsidR="007F5BB1" w:rsidRPr="007F5BB1" w:rsidRDefault="007F5BB1" w:rsidP="007F5BB1">
      <w:pPr>
        <w:rPr>
          <w:color w:val="000000"/>
        </w:rPr>
      </w:pPr>
      <w:r w:rsidRPr="007F5BB1">
        <w:rPr>
          <w:color w:val="000000"/>
        </w:rPr>
        <w:t xml:space="preserve"> </w:t>
      </w:r>
    </w:p>
    <w:p w14:paraId="4B2D2C9A" w14:textId="77777777" w:rsidR="007F5BB1" w:rsidRPr="007F5BB1" w:rsidRDefault="007F5BB1" w:rsidP="007F5BB1">
      <w:pPr>
        <w:rPr>
          <w:color w:val="000000"/>
        </w:rPr>
      </w:pPr>
      <w:r w:rsidRPr="007F5BB1">
        <w:rPr>
          <w:color w:val="000000"/>
        </w:rPr>
        <w:t xml:space="preserve">This measure will be calculated for Title I Adult and Dislocated Worker program participants separately.  </w:t>
      </w:r>
    </w:p>
    <w:p w14:paraId="1F14E4C4" w14:textId="77777777" w:rsidR="007F5BB1" w:rsidRPr="007F5BB1" w:rsidRDefault="007F5BB1" w:rsidP="007F5BB1">
      <w:pPr>
        <w:rPr>
          <w:color w:val="000000"/>
        </w:rPr>
      </w:pPr>
      <w:r w:rsidRPr="007F5BB1">
        <w:rPr>
          <w:color w:val="000000"/>
        </w:rPr>
        <w:t xml:space="preserve"> </w:t>
      </w:r>
    </w:p>
    <w:p w14:paraId="7F98FE5A" w14:textId="77777777" w:rsidR="007F5BB1" w:rsidRPr="007F5BB1" w:rsidRDefault="007F5BB1" w:rsidP="007F5BB1">
      <w:pPr>
        <w:rPr>
          <w:color w:val="000000"/>
        </w:rPr>
      </w:pPr>
      <w:r w:rsidRPr="007F5BB1">
        <w:rPr>
          <w:color w:val="000000"/>
        </w:rPr>
        <w:t xml:space="preserve"> </w:t>
      </w:r>
    </w:p>
    <w:p w14:paraId="2B62CA04" w14:textId="77777777" w:rsidR="007F5BB1" w:rsidRPr="007F5BB1" w:rsidRDefault="007F5BB1" w:rsidP="007F5BB1">
      <w:pPr>
        <w:rPr>
          <w:color w:val="000000"/>
        </w:rPr>
      </w:pPr>
      <w:r w:rsidRPr="007F5BB1">
        <w:rPr>
          <w:color w:val="000000"/>
        </w:rPr>
        <w:t xml:space="preserve">4. </w:t>
      </w:r>
      <w:r w:rsidRPr="009B308F">
        <w:rPr>
          <w:i/>
          <w:color w:val="000000"/>
        </w:rPr>
        <w:t>Post Training Earnings</w:t>
      </w:r>
      <w:r w:rsidRPr="007F5BB1">
        <w:rPr>
          <w:color w:val="000000"/>
        </w:rPr>
        <w:t xml:space="preserve"> – Will be reported as the median earnings for those participants who received an ITA and who have earnings during the second quarter after exit. </w:t>
      </w:r>
    </w:p>
    <w:p w14:paraId="07ECD718" w14:textId="77777777" w:rsidR="007F5BB1" w:rsidRPr="007F5BB1" w:rsidRDefault="007F5BB1" w:rsidP="007F5BB1">
      <w:pPr>
        <w:rPr>
          <w:color w:val="000000"/>
        </w:rPr>
      </w:pPr>
      <w:r w:rsidRPr="007F5BB1">
        <w:rPr>
          <w:color w:val="000000"/>
        </w:rPr>
        <w:t xml:space="preserve"> </w:t>
      </w:r>
    </w:p>
    <w:p w14:paraId="24046CD1" w14:textId="77777777" w:rsidR="007F5BB1" w:rsidRPr="007F5BB1" w:rsidRDefault="007F5BB1" w:rsidP="007F5BB1">
      <w:pPr>
        <w:rPr>
          <w:color w:val="000000"/>
        </w:rPr>
      </w:pPr>
      <w:r w:rsidRPr="007F5BB1">
        <w:rPr>
          <w:color w:val="000000"/>
        </w:rPr>
        <w:t xml:space="preserve">This measure will be calculated for Title I Adult and Dislocated Worker program participants separately. </w:t>
      </w:r>
    </w:p>
    <w:p w14:paraId="58CF5123" w14:textId="77777777" w:rsidR="007F5BB1" w:rsidRPr="007F5BB1" w:rsidRDefault="007F5BB1" w:rsidP="007F5BB1">
      <w:pPr>
        <w:rPr>
          <w:color w:val="000000"/>
        </w:rPr>
      </w:pPr>
      <w:r w:rsidRPr="007F5BB1">
        <w:rPr>
          <w:color w:val="000000"/>
        </w:rPr>
        <w:t xml:space="preserve"> </w:t>
      </w:r>
    </w:p>
    <w:p w14:paraId="7B32082E" w14:textId="0C83E99A" w:rsidR="00B67A98" w:rsidRDefault="009B308F" w:rsidP="00B67A98">
      <w:pPr>
        <w:rPr>
          <w:color w:val="000000"/>
          <w:u w:val="single"/>
        </w:rPr>
      </w:pPr>
      <w:r w:rsidRPr="009B308F">
        <w:rPr>
          <w:color w:val="000000"/>
          <w:u w:val="single"/>
        </w:rPr>
        <w:t>Denials</w:t>
      </w:r>
    </w:p>
    <w:p w14:paraId="01ECBF5F" w14:textId="77777777" w:rsidR="009B308F" w:rsidRPr="009B308F" w:rsidRDefault="009B308F" w:rsidP="00B67A98">
      <w:pPr>
        <w:rPr>
          <w:color w:val="000000"/>
          <w:u w:val="single"/>
        </w:rPr>
      </w:pPr>
    </w:p>
    <w:p w14:paraId="7A91E1E9" w14:textId="77777777" w:rsidR="00B67A98" w:rsidRPr="00B67A98" w:rsidRDefault="00B67A98" w:rsidP="00B67A98">
      <w:pPr>
        <w:rPr>
          <w:color w:val="000000"/>
        </w:rPr>
      </w:pPr>
      <w:r w:rsidRPr="00B67A98">
        <w:rPr>
          <w:color w:val="000000"/>
        </w:rPr>
        <w:t xml:space="preserve">If a training provider is not recertified for continued eligibility, participants already enrolled in training may remain in the program until completion. </w:t>
      </w:r>
    </w:p>
    <w:p w14:paraId="2A30205F" w14:textId="77777777" w:rsidR="009F487D" w:rsidRDefault="009F487D" w:rsidP="009F487D">
      <w:pPr>
        <w:autoSpaceDE w:val="0"/>
        <w:autoSpaceDN w:val="0"/>
        <w:adjustRightInd w:val="0"/>
        <w:rPr>
          <w:color w:val="000000"/>
        </w:rPr>
      </w:pPr>
    </w:p>
    <w:p w14:paraId="3BA5689A" w14:textId="544F513F" w:rsidR="009B308F" w:rsidRDefault="009B308F" w:rsidP="009F487D">
      <w:pPr>
        <w:autoSpaceDE w:val="0"/>
        <w:autoSpaceDN w:val="0"/>
        <w:adjustRightInd w:val="0"/>
        <w:rPr>
          <w:color w:val="000000"/>
          <w:u w:val="single"/>
        </w:rPr>
      </w:pPr>
      <w:r w:rsidRPr="009B308F">
        <w:rPr>
          <w:color w:val="000000"/>
          <w:u w:val="single"/>
        </w:rPr>
        <w:t>Registered Apprenti</w:t>
      </w:r>
      <w:r>
        <w:rPr>
          <w:color w:val="000000"/>
          <w:u w:val="single"/>
        </w:rPr>
        <w:t>ce</w:t>
      </w:r>
      <w:r w:rsidRPr="009B308F">
        <w:rPr>
          <w:color w:val="000000"/>
          <w:u w:val="single"/>
        </w:rPr>
        <w:t>ship</w:t>
      </w:r>
    </w:p>
    <w:p w14:paraId="72765F0C" w14:textId="77777777" w:rsidR="009B308F" w:rsidRPr="009B308F" w:rsidRDefault="009B308F" w:rsidP="009F487D">
      <w:pPr>
        <w:autoSpaceDE w:val="0"/>
        <w:autoSpaceDN w:val="0"/>
        <w:adjustRightInd w:val="0"/>
        <w:rPr>
          <w:color w:val="000000"/>
          <w:u w:val="single"/>
        </w:rPr>
      </w:pPr>
    </w:p>
    <w:p w14:paraId="7F60EC98" w14:textId="459950E3" w:rsidR="0053678B" w:rsidRDefault="0053678B" w:rsidP="009F487D">
      <w:pPr>
        <w:autoSpaceDE w:val="0"/>
        <w:autoSpaceDN w:val="0"/>
        <w:adjustRightInd w:val="0"/>
        <w:rPr>
          <w:color w:val="000000"/>
        </w:rPr>
      </w:pPr>
      <w:r w:rsidRPr="0053678B">
        <w:rPr>
          <w:color w:val="000000"/>
        </w:rPr>
        <w:t>A recognized apprenticeship program may remain on the ETPL as long as it remains registered and recognized by the Virginia Department of Labor and Industry (DOLI).  Annually, the administrator of Title I funds will provide DOLI a list of approved providers in this category and verify the status of apprenticeship program.</w:t>
      </w:r>
    </w:p>
    <w:p w14:paraId="25C0E371" w14:textId="77777777" w:rsidR="0053678B" w:rsidRDefault="0053678B" w:rsidP="009F487D">
      <w:pPr>
        <w:autoSpaceDE w:val="0"/>
        <w:autoSpaceDN w:val="0"/>
        <w:adjustRightInd w:val="0"/>
        <w:rPr>
          <w:color w:val="000000"/>
        </w:rPr>
      </w:pPr>
    </w:p>
    <w:p w14:paraId="42422211" w14:textId="77777777" w:rsidR="004A6730" w:rsidRDefault="009F487D" w:rsidP="009F487D">
      <w:pPr>
        <w:autoSpaceDE w:val="0"/>
        <w:autoSpaceDN w:val="0"/>
        <w:adjustRightInd w:val="0"/>
        <w:rPr>
          <w:b/>
          <w:color w:val="000000"/>
        </w:rPr>
      </w:pPr>
      <w:r w:rsidRPr="009F487D">
        <w:rPr>
          <w:b/>
          <w:color w:val="000000"/>
        </w:rPr>
        <w:t>Appeal Process:</w:t>
      </w:r>
    </w:p>
    <w:p w14:paraId="716E1880" w14:textId="77777777" w:rsidR="004A6730" w:rsidRDefault="004A6730" w:rsidP="009F487D">
      <w:pPr>
        <w:autoSpaceDE w:val="0"/>
        <w:autoSpaceDN w:val="0"/>
        <w:adjustRightInd w:val="0"/>
        <w:rPr>
          <w:b/>
          <w:color w:val="000000"/>
        </w:rPr>
      </w:pPr>
    </w:p>
    <w:p w14:paraId="7C82173B" w14:textId="29FD2C27" w:rsidR="009F487D" w:rsidRDefault="009F487D" w:rsidP="009F487D">
      <w:pPr>
        <w:autoSpaceDE w:val="0"/>
        <w:autoSpaceDN w:val="0"/>
        <w:adjustRightInd w:val="0"/>
        <w:rPr>
          <w:color w:val="000000"/>
        </w:rPr>
      </w:pPr>
      <w:r>
        <w:rPr>
          <w:color w:val="000000"/>
        </w:rPr>
        <w:t xml:space="preserve">Should the </w:t>
      </w:r>
      <w:r w:rsidR="00B67B74">
        <w:rPr>
          <w:color w:val="000000"/>
        </w:rPr>
        <w:t xml:space="preserve">Central Virginia </w:t>
      </w:r>
      <w:r>
        <w:rPr>
          <w:color w:val="000000"/>
        </w:rPr>
        <w:t xml:space="preserve">WDB </w:t>
      </w:r>
      <w:r w:rsidRPr="009F487D">
        <w:rPr>
          <w:color w:val="000000"/>
        </w:rPr>
        <w:t>deny an application</w:t>
      </w:r>
      <w:r w:rsidR="007E08E7">
        <w:rPr>
          <w:color w:val="000000"/>
        </w:rPr>
        <w:t xml:space="preserve"> or renewal certification</w:t>
      </w:r>
      <w:r w:rsidRPr="009F487D">
        <w:rPr>
          <w:color w:val="000000"/>
        </w:rPr>
        <w:t xml:space="preserve">, staff will: </w:t>
      </w:r>
    </w:p>
    <w:p w14:paraId="27425311" w14:textId="77777777" w:rsidR="00665485" w:rsidRPr="009F487D" w:rsidRDefault="00665485" w:rsidP="009F487D">
      <w:pPr>
        <w:autoSpaceDE w:val="0"/>
        <w:autoSpaceDN w:val="0"/>
        <w:adjustRightInd w:val="0"/>
        <w:rPr>
          <w:color w:val="000000"/>
        </w:rPr>
      </w:pPr>
    </w:p>
    <w:p w14:paraId="25C2352F" w14:textId="77777777" w:rsidR="009F487D" w:rsidRPr="009F487D" w:rsidRDefault="009F487D" w:rsidP="009F487D">
      <w:pPr>
        <w:autoSpaceDE w:val="0"/>
        <w:autoSpaceDN w:val="0"/>
        <w:adjustRightInd w:val="0"/>
        <w:spacing w:after="39"/>
        <w:rPr>
          <w:color w:val="000000"/>
        </w:rPr>
      </w:pPr>
      <w:r w:rsidRPr="009F487D">
        <w:rPr>
          <w:color w:val="000000"/>
        </w:rPr>
        <w:t xml:space="preserve">1. Send training provider notice within 5 business days after denial is obtained. The notice will identify the specific program(s) being denied and the reason(s) for denial. The notice shall also advise the applicant of its right to appeal the decision. </w:t>
      </w:r>
    </w:p>
    <w:p w14:paraId="267F2491" w14:textId="77777777" w:rsidR="009F487D" w:rsidRPr="009F487D" w:rsidRDefault="009F487D" w:rsidP="009F487D">
      <w:pPr>
        <w:autoSpaceDE w:val="0"/>
        <w:autoSpaceDN w:val="0"/>
        <w:adjustRightInd w:val="0"/>
        <w:spacing w:after="39"/>
        <w:rPr>
          <w:color w:val="000000"/>
        </w:rPr>
      </w:pPr>
      <w:r w:rsidRPr="009F487D">
        <w:rPr>
          <w:color w:val="000000"/>
        </w:rPr>
        <w:t xml:space="preserve">2. If a provider requests a reconsideration, the Board shall review the request within 90 calendar days and issue a written decision that either upholds or reverses the original decision. </w:t>
      </w:r>
    </w:p>
    <w:p w14:paraId="76AA9601" w14:textId="3271E7CA" w:rsidR="009F487D" w:rsidRPr="009F487D" w:rsidRDefault="00665485" w:rsidP="009F487D">
      <w:pPr>
        <w:autoSpaceDE w:val="0"/>
        <w:autoSpaceDN w:val="0"/>
        <w:adjustRightInd w:val="0"/>
        <w:spacing w:after="39"/>
        <w:rPr>
          <w:color w:val="000000"/>
        </w:rPr>
      </w:pPr>
      <w:r>
        <w:rPr>
          <w:color w:val="000000"/>
        </w:rPr>
        <w:lastRenderedPageBreak/>
        <w:t xml:space="preserve">3. If the </w:t>
      </w:r>
      <w:r w:rsidR="00B67B74" w:rsidRPr="00B67B74">
        <w:rPr>
          <w:color w:val="000000"/>
        </w:rPr>
        <w:t xml:space="preserve">Central Virginia </w:t>
      </w:r>
      <w:r>
        <w:rPr>
          <w:color w:val="000000"/>
        </w:rPr>
        <w:t>WDB</w:t>
      </w:r>
      <w:r w:rsidR="009F487D" w:rsidRPr="009F487D">
        <w:rPr>
          <w:color w:val="000000"/>
        </w:rPr>
        <w:t xml:space="preserve"> reverses its initial decisio</w:t>
      </w:r>
      <w:r>
        <w:rPr>
          <w:color w:val="000000"/>
        </w:rPr>
        <w:t xml:space="preserve">n to deny the application, </w:t>
      </w:r>
      <w:r w:rsidR="00B67B74" w:rsidRPr="00B67B74">
        <w:rPr>
          <w:color w:val="000000"/>
        </w:rPr>
        <w:t xml:space="preserve">Central Virginia </w:t>
      </w:r>
      <w:r>
        <w:rPr>
          <w:color w:val="000000"/>
        </w:rPr>
        <w:t>WDB</w:t>
      </w:r>
      <w:r w:rsidR="009F487D" w:rsidRPr="009F487D">
        <w:rPr>
          <w:color w:val="000000"/>
        </w:rPr>
        <w:t xml:space="preserve"> staff will send the training provider notice within 5 business days a</w:t>
      </w:r>
      <w:r>
        <w:rPr>
          <w:color w:val="000000"/>
        </w:rPr>
        <w:t xml:space="preserve">fter approval is obtained. </w:t>
      </w:r>
      <w:r w:rsidR="00B67B74" w:rsidRPr="00B67B74">
        <w:rPr>
          <w:color w:val="000000"/>
        </w:rPr>
        <w:t xml:space="preserve">Central Virginia </w:t>
      </w:r>
      <w:r>
        <w:rPr>
          <w:color w:val="000000"/>
        </w:rPr>
        <w:t>WDB</w:t>
      </w:r>
      <w:r w:rsidR="009F487D" w:rsidRPr="009F487D">
        <w:rPr>
          <w:color w:val="000000"/>
        </w:rPr>
        <w:t xml:space="preserve"> will then post the program of training service on the state provider network. </w:t>
      </w:r>
    </w:p>
    <w:p w14:paraId="0949A192" w14:textId="4882CDA0" w:rsidR="009F487D" w:rsidRPr="009F487D" w:rsidRDefault="00665485" w:rsidP="009F487D">
      <w:pPr>
        <w:autoSpaceDE w:val="0"/>
        <w:autoSpaceDN w:val="0"/>
        <w:adjustRightInd w:val="0"/>
        <w:rPr>
          <w:color w:val="000000"/>
        </w:rPr>
      </w:pPr>
      <w:r>
        <w:rPr>
          <w:color w:val="000000"/>
        </w:rPr>
        <w:t xml:space="preserve">4. If the </w:t>
      </w:r>
      <w:r w:rsidR="00B67B74" w:rsidRPr="00B67B74">
        <w:rPr>
          <w:color w:val="000000"/>
        </w:rPr>
        <w:t xml:space="preserve">Central Virginia </w:t>
      </w:r>
      <w:r>
        <w:rPr>
          <w:color w:val="000000"/>
        </w:rPr>
        <w:t>WDB</w:t>
      </w:r>
      <w:r w:rsidR="009F487D" w:rsidRPr="009F487D">
        <w:rPr>
          <w:color w:val="000000"/>
        </w:rPr>
        <w:t xml:space="preserve"> affirms its original decision, the provider shall have the option of filing an appeal with VCCS. </w:t>
      </w:r>
    </w:p>
    <w:p w14:paraId="68C82598" w14:textId="77777777" w:rsidR="009F487D" w:rsidRPr="009F487D" w:rsidRDefault="009F487D" w:rsidP="009F487D">
      <w:pPr>
        <w:autoSpaceDE w:val="0"/>
        <w:autoSpaceDN w:val="0"/>
        <w:adjustRightInd w:val="0"/>
        <w:rPr>
          <w:color w:val="000000"/>
        </w:rPr>
      </w:pPr>
    </w:p>
    <w:p w14:paraId="615723F7" w14:textId="77777777" w:rsidR="009F487D" w:rsidRDefault="009F487D" w:rsidP="009F487D">
      <w:pPr>
        <w:autoSpaceDE w:val="0"/>
        <w:autoSpaceDN w:val="0"/>
        <w:adjustRightInd w:val="0"/>
        <w:rPr>
          <w:color w:val="000000"/>
        </w:rPr>
      </w:pPr>
      <w:r w:rsidRPr="009F487D">
        <w:rPr>
          <w:color w:val="000000"/>
        </w:rPr>
        <w:t xml:space="preserve">In cases involving the denial of an initial certification or re-certification, the burden shall be upon the training provider to prove, by a preponderance of the evidence, that the certification should have been granted. In cases involving decertification of a training provider for intentionally supplying inaccurate information or for substantially violating any requirements under WIOA, the burden shall be upon the local board to provide, by a preponderance of the evidence, that the decision to decertify was appropriate. </w:t>
      </w:r>
    </w:p>
    <w:p w14:paraId="11950C99" w14:textId="77777777" w:rsidR="00665485" w:rsidRPr="009F487D" w:rsidRDefault="00665485" w:rsidP="009F487D">
      <w:pPr>
        <w:autoSpaceDE w:val="0"/>
        <w:autoSpaceDN w:val="0"/>
        <w:adjustRightInd w:val="0"/>
        <w:rPr>
          <w:color w:val="000000"/>
        </w:rPr>
      </w:pPr>
    </w:p>
    <w:p w14:paraId="24A9560D" w14:textId="2131E82E" w:rsidR="009F487D" w:rsidRPr="00D40B2D" w:rsidRDefault="009F487D" w:rsidP="009F487D">
      <w:pPr>
        <w:tabs>
          <w:tab w:val="left" w:pos="720"/>
          <w:tab w:val="left" w:pos="1170"/>
        </w:tabs>
        <w:spacing w:after="200" w:line="276" w:lineRule="auto"/>
        <w:contextualSpacing/>
        <w:rPr>
          <w:b/>
        </w:rPr>
      </w:pPr>
      <w:r w:rsidRPr="009F487D">
        <w:rPr>
          <w:color w:val="000000"/>
        </w:rPr>
        <w:t>Appeals for reconsideration must be submitted to the Board staff at least 10 days in advance of the next scheduled board of directors meeting following notification. Should fewer than 10 days remain prior to the next board meeting, the appeal will be considered at the next subsequent meeting in which the 10-day notice requirement can be met. If the issue is not re</w:t>
      </w:r>
      <w:r w:rsidR="00665485">
        <w:rPr>
          <w:color w:val="000000"/>
        </w:rPr>
        <w:t xml:space="preserve">solved satisfactorily, the </w:t>
      </w:r>
      <w:r w:rsidR="00B67B74" w:rsidRPr="00B67B74">
        <w:rPr>
          <w:color w:val="000000"/>
        </w:rPr>
        <w:t xml:space="preserve">Central Virginia </w:t>
      </w:r>
      <w:bookmarkStart w:id="0" w:name="_GoBack"/>
      <w:bookmarkEnd w:id="0"/>
      <w:r w:rsidR="00665485">
        <w:rPr>
          <w:color w:val="000000"/>
        </w:rPr>
        <w:t>WDB</w:t>
      </w:r>
      <w:r w:rsidRPr="009F487D">
        <w:rPr>
          <w:color w:val="000000"/>
        </w:rPr>
        <w:t xml:space="preserve"> will submit the application to the appropriate state division for reconsideration.</w:t>
      </w:r>
    </w:p>
    <w:p w14:paraId="783C416B" w14:textId="46C0BA3A" w:rsidR="007B3B11" w:rsidRPr="00972110" w:rsidRDefault="007B3B11" w:rsidP="004B5262">
      <w:pPr>
        <w:tabs>
          <w:tab w:val="left" w:pos="720"/>
          <w:tab w:val="left" w:pos="1170"/>
        </w:tabs>
        <w:spacing w:after="200" w:line="276" w:lineRule="auto"/>
        <w:contextualSpacing/>
        <w:rPr>
          <w:rFonts w:asciiTheme="minorHAnsi" w:hAnsiTheme="minorHAnsi" w:cstheme="minorHAnsi"/>
        </w:rPr>
      </w:pPr>
    </w:p>
    <w:p w14:paraId="3AA696CA" w14:textId="77777777" w:rsidR="007B3B11" w:rsidRPr="007B3B11" w:rsidRDefault="007B3B11" w:rsidP="007B3B11">
      <w:pPr>
        <w:tabs>
          <w:tab w:val="left" w:pos="720"/>
          <w:tab w:val="left" w:pos="1170"/>
        </w:tabs>
        <w:spacing w:after="200" w:line="276" w:lineRule="auto"/>
        <w:contextualSpacing/>
        <w:rPr>
          <w:rFonts w:asciiTheme="minorHAnsi" w:hAnsiTheme="minorHAnsi" w:cstheme="minorHAnsi"/>
          <w:b/>
        </w:rPr>
      </w:pPr>
      <w:r w:rsidRPr="007B3B11">
        <w:rPr>
          <w:rFonts w:asciiTheme="minorHAnsi" w:hAnsiTheme="minorHAnsi" w:cstheme="minorHAnsi"/>
          <w:b/>
        </w:rPr>
        <w:t xml:space="preserve"> </w:t>
      </w:r>
    </w:p>
    <w:p w14:paraId="4F957942" w14:textId="77777777" w:rsidR="008E7E91" w:rsidRPr="000C6F95" w:rsidRDefault="008E7E91" w:rsidP="000C6F95">
      <w:pPr>
        <w:tabs>
          <w:tab w:val="left" w:pos="720"/>
          <w:tab w:val="left" w:pos="1170"/>
        </w:tabs>
        <w:spacing w:after="200" w:line="276" w:lineRule="auto"/>
        <w:contextualSpacing/>
        <w:rPr>
          <w:rFonts w:asciiTheme="minorHAnsi" w:hAnsiTheme="minorHAnsi" w:cstheme="minorHAnsi"/>
          <w:b/>
          <w:u w:val="single"/>
        </w:rPr>
      </w:pPr>
    </w:p>
    <w:sectPr w:rsidR="008E7E91" w:rsidRPr="000C6F95" w:rsidSect="00127A9F">
      <w:footerReference w:type="default" r:id="rId9"/>
      <w:headerReference w:type="firs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8168" w14:textId="77777777" w:rsidR="00473E69" w:rsidRDefault="00473E69" w:rsidP="004546C8">
      <w:r>
        <w:separator/>
      </w:r>
    </w:p>
  </w:endnote>
  <w:endnote w:type="continuationSeparator" w:id="0">
    <w:p w14:paraId="6D485C46" w14:textId="77777777" w:rsidR="00473E69" w:rsidRDefault="00473E69" w:rsidP="0045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95603"/>
      <w:docPartObj>
        <w:docPartGallery w:val="Page Numbers (Bottom of Page)"/>
        <w:docPartUnique/>
      </w:docPartObj>
    </w:sdtPr>
    <w:sdtEndPr>
      <w:rPr>
        <w:color w:val="808080" w:themeColor="background1" w:themeShade="80"/>
        <w:spacing w:val="60"/>
      </w:rPr>
    </w:sdtEndPr>
    <w:sdtContent>
      <w:p w14:paraId="05858E25" w14:textId="77777777" w:rsidR="001F507E" w:rsidRDefault="001F50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4837">
          <w:rPr>
            <w:noProof/>
          </w:rPr>
          <w:t>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39D5" w14:textId="77777777" w:rsidR="00473E69" w:rsidRDefault="00473E69" w:rsidP="004546C8">
      <w:r>
        <w:separator/>
      </w:r>
    </w:p>
  </w:footnote>
  <w:footnote w:type="continuationSeparator" w:id="0">
    <w:p w14:paraId="59F92DB9" w14:textId="77777777" w:rsidR="00473E69" w:rsidRDefault="00473E69" w:rsidP="0045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06301EA3" w14:textId="77777777" w:rsidR="001F507E" w:rsidRDefault="001F50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D-R-A-F-T Incorporating Policy Committee Discussion on 8/30/12</w:t>
        </w:r>
      </w:p>
    </w:sdtContent>
  </w:sdt>
  <w:p w14:paraId="7F13F767" w14:textId="77777777" w:rsidR="001F507E" w:rsidRDefault="001F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088454"/>
    <w:multiLevelType w:val="hybridMultilevel"/>
    <w:tmpl w:val="00E170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00AD"/>
    <w:multiLevelType w:val="hybridMultilevel"/>
    <w:tmpl w:val="163ECD90"/>
    <w:lvl w:ilvl="0" w:tplc="A81EF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783C7C"/>
    <w:multiLevelType w:val="hybridMultilevel"/>
    <w:tmpl w:val="0D62BFB4"/>
    <w:lvl w:ilvl="0" w:tplc="C1B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235CE"/>
    <w:multiLevelType w:val="hybridMultilevel"/>
    <w:tmpl w:val="A24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15F17"/>
    <w:multiLevelType w:val="hybridMultilevel"/>
    <w:tmpl w:val="8EB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06C35"/>
    <w:multiLevelType w:val="hybridMultilevel"/>
    <w:tmpl w:val="E13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2D13"/>
    <w:multiLevelType w:val="hybridMultilevel"/>
    <w:tmpl w:val="EA00C82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7" w15:restartNumberingAfterBreak="0">
    <w:nsid w:val="13596C47"/>
    <w:multiLevelType w:val="hybridMultilevel"/>
    <w:tmpl w:val="3E5A8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F35A1"/>
    <w:multiLevelType w:val="hybridMultilevel"/>
    <w:tmpl w:val="34564B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55862"/>
    <w:multiLevelType w:val="hybridMultilevel"/>
    <w:tmpl w:val="431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F545D"/>
    <w:multiLevelType w:val="hybridMultilevel"/>
    <w:tmpl w:val="FBE4E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03467"/>
    <w:multiLevelType w:val="hybridMultilevel"/>
    <w:tmpl w:val="02B8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529A2"/>
    <w:multiLevelType w:val="hybridMultilevel"/>
    <w:tmpl w:val="05C262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51C2"/>
    <w:multiLevelType w:val="hybridMultilevel"/>
    <w:tmpl w:val="DCF639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DE2DF5"/>
    <w:multiLevelType w:val="hybridMultilevel"/>
    <w:tmpl w:val="0090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E7904"/>
    <w:multiLevelType w:val="hybridMultilevel"/>
    <w:tmpl w:val="76A6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0C37"/>
    <w:multiLevelType w:val="hybridMultilevel"/>
    <w:tmpl w:val="A54A83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B22B3"/>
    <w:multiLevelType w:val="hybridMultilevel"/>
    <w:tmpl w:val="F16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62DC6"/>
    <w:multiLevelType w:val="hybridMultilevel"/>
    <w:tmpl w:val="7908B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74951"/>
    <w:multiLevelType w:val="hybridMultilevel"/>
    <w:tmpl w:val="D01C81CA"/>
    <w:lvl w:ilvl="0" w:tplc="C5BC6188">
      <w:start w:val="1"/>
      <w:numFmt w:val="bullet"/>
      <w:lvlText w:val=""/>
      <w:lvlJc w:val="left"/>
      <w:pPr>
        <w:tabs>
          <w:tab w:val="num" w:pos="720"/>
        </w:tabs>
        <w:ind w:left="720" w:hanging="360"/>
      </w:pPr>
      <w:rPr>
        <w:rFonts w:ascii="Wingdings" w:hAnsi="Wingdings" w:hint="default"/>
      </w:rPr>
    </w:lvl>
    <w:lvl w:ilvl="1" w:tplc="0996FA68">
      <w:start w:val="1"/>
      <w:numFmt w:val="bullet"/>
      <w:lvlText w:val=""/>
      <w:lvlJc w:val="left"/>
      <w:pPr>
        <w:tabs>
          <w:tab w:val="num" w:pos="1440"/>
        </w:tabs>
        <w:ind w:left="1440" w:hanging="360"/>
      </w:pPr>
      <w:rPr>
        <w:rFonts w:ascii="Wingdings" w:hAnsi="Wingdings" w:hint="default"/>
      </w:rPr>
    </w:lvl>
    <w:lvl w:ilvl="2" w:tplc="21A28836" w:tentative="1">
      <w:start w:val="1"/>
      <w:numFmt w:val="bullet"/>
      <w:lvlText w:val=""/>
      <w:lvlJc w:val="left"/>
      <w:pPr>
        <w:tabs>
          <w:tab w:val="num" w:pos="2160"/>
        </w:tabs>
        <w:ind w:left="2160" w:hanging="360"/>
      </w:pPr>
      <w:rPr>
        <w:rFonts w:ascii="Wingdings" w:hAnsi="Wingdings" w:hint="default"/>
      </w:rPr>
    </w:lvl>
    <w:lvl w:ilvl="3" w:tplc="276A72B0" w:tentative="1">
      <w:start w:val="1"/>
      <w:numFmt w:val="bullet"/>
      <w:lvlText w:val=""/>
      <w:lvlJc w:val="left"/>
      <w:pPr>
        <w:tabs>
          <w:tab w:val="num" w:pos="2880"/>
        </w:tabs>
        <w:ind w:left="2880" w:hanging="360"/>
      </w:pPr>
      <w:rPr>
        <w:rFonts w:ascii="Wingdings" w:hAnsi="Wingdings" w:hint="default"/>
      </w:rPr>
    </w:lvl>
    <w:lvl w:ilvl="4" w:tplc="61626202" w:tentative="1">
      <w:start w:val="1"/>
      <w:numFmt w:val="bullet"/>
      <w:lvlText w:val=""/>
      <w:lvlJc w:val="left"/>
      <w:pPr>
        <w:tabs>
          <w:tab w:val="num" w:pos="3600"/>
        </w:tabs>
        <w:ind w:left="3600" w:hanging="360"/>
      </w:pPr>
      <w:rPr>
        <w:rFonts w:ascii="Wingdings" w:hAnsi="Wingdings" w:hint="default"/>
      </w:rPr>
    </w:lvl>
    <w:lvl w:ilvl="5" w:tplc="75FA7074" w:tentative="1">
      <w:start w:val="1"/>
      <w:numFmt w:val="bullet"/>
      <w:lvlText w:val=""/>
      <w:lvlJc w:val="left"/>
      <w:pPr>
        <w:tabs>
          <w:tab w:val="num" w:pos="4320"/>
        </w:tabs>
        <w:ind w:left="4320" w:hanging="360"/>
      </w:pPr>
      <w:rPr>
        <w:rFonts w:ascii="Wingdings" w:hAnsi="Wingdings" w:hint="default"/>
      </w:rPr>
    </w:lvl>
    <w:lvl w:ilvl="6" w:tplc="B44C65BC" w:tentative="1">
      <w:start w:val="1"/>
      <w:numFmt w:val="bullet"/>
      <w:lvlText w:val=""/>
      <w:lvlJc w:val="left"/>
      <w:pPr>
        <w:tabs>
          <w:tab w:val="num" w:pos="5040"/>
        </w:tabs>
        <w:ind w:left="5040" w:hanging="360"/>
      </w:pPr>
      <w:rPr>
        <w:rFonts w:ascii="Wingdings" w:hAnsi="Wingdings" w:hint="default"/>
      </w:rPr>
    </w:lvl>
    <w:lvl w:ilvl="7" w:tplc="329616B6" w:tentative="1">
      <w:start w:val="1"/>
      <w:numFmt w:val="bullet"/>
      <w:lvlText w:val=""/>
      <w:lvlJc w:val="left"/>
      <w:pPr>
        <w:tabs>
          <w:tab w:val="num" w:pos="5760"/>
        </w:tabs>
        <w:ind w:left="5760" w:hanging="360"/>
      </w:pPr>
      <w:rPr>
        <w:rFonts w:ascii="Wingdings" w:hAnsi="Wingdings" w:hint="default"/>
      </w:rPr>
    </w:lvl>
    <w:lvl w:ilvl="8" w:tplc="8A7E83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B06EA"/>
    <w:multiLevelType w:val="hybridMultilevel"/>
    <w:tmpl w:val="53847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45D37"/>
    <w:multiLevelType w:val="hybridMultilevel"/>
    <w:tmpl w:val="C772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55D2C"/>
    <w:multiLevelType w:val="hybridMultilevel"/>
    <w:tmpl w:val="626895D0"/>
    <w:lvl w:ilvl="0" w:tplc="647EC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36833"/>
    <w:multiLevelType w:val="hybridMultilevel"/>
    <w:tmpl w:val="53847A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5232B0"/>
    <w:multiLevelType w:val="hybridMultilevel"/>
    <w:tmpl w:val="354ADF3E"/>
    <w:lvl w:ilvl="0" w:tplc="A86475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47BB0"/>
    <w:multiLevelType w:val="hybridMultilevel"/>
    <w:tmpl w:val="D9BC9FBA"/>
    <w:lvl w:ilvl="0" w:tplc="38988FEA">
      <w:start w:val="1"/>
      <w:numFmt w:val="lowerLetter"/>
      <w:lvlText w:val="%1."/>
      <w:lvlJc w:val="left"/>
      <w:pPr>
        <w:ind w:left="796" w:hanging="216"/>
      </w:pPr>
      <w:rPr>
        <w:rFonts w:ascii="Times New Roman" w:eastAsia="Times New Roman" w:hAnsi="Times New Roman" w:cs="Times New Roman" w:hint="default"/>
        <w:color w:val="181818"/>
        <w:w w:val="100"/>
        <w:sz w:val="22"/>
        <w:szCs w:val="22"/>
      </w:rPr>
    </w:lvl>
    <w:lvl w:ilvl="1" w:tplc="9BDCBC3C">
      <w:start w:val="1"/>
      <w:numFmt w:val="lowerRoman"/>
      <w:lvlText w:val="%2."/>
      <w:lvlJc w:val="left"/>
      <w:pPr>
        <w:ind w:left="1476" w:hanging="180"/>
      </w:pPr>
      <w:rPr>
        <w:rFonts w:ascii="Times New Roman" w:eastAsia="Times New Roman" w:hAnsi="Times New Roman" w:cs="Times New Roman" w:hint="default"/>
        <w:color w:val="181818"/>
        <w:w w:val="109"/>
        <w:sz w:val="22"/>
        <w:szCs w:val="22"/>
      </w:rPr>
    </w:lvl>
    <w:lvl w:ilvl="2" w:tplc="CF7C44AE">
      <w:numFmt w:val="bullet"/>
      <w:lvlText w:val="•"/>
      <w:lvlJc w:val="left"/>
      <w:pPr>
        <w:ind w:left="2328" w:hanging="180"/>
      </w:pPr>
      <w:rPr>
        <w:rFonts w:hint="default"/>
      </w:rPr>
    </w:lvl>
    <w:lvl w:ilvl="3" w:tplc="286CFF28">
      <w:numFmt w:val="bullet"/>
      <w:lvlText w:val="•"/>
      <w:lvlJc w:val="left"/>
      <w:pPr>
        <w:ind w:left="3177" w:hanging="180"/>
      </w:pPr>
      <w:rPr>
        <w:rFonts w:hint="default"/>
      </w:rPr>
    </w:lvl>
    <w:lvl w:ilvl="4" w:tplc="31607724">
      <w:numFmt w:val="bullet"/>
      <w:lvlText w:val="•"/>
      <w:lvlJc w:val="left"/>
      <w:pPr>
        <w:ind w:left="4026" w:hanging="180"/>
      </w:pPr>
      <w:rPr>
        <w:rFonts w:hint="default"/>
      </w:rPr>
    </w:lvl>
    <w:lvl w:ilvl="5" w:tplc="FA24BD20">
      <w:numFmt w:val="bullet"/>
      <w:lvlText w:val="•"/>
      <w:lvlJc w:val="left"/>
      <w:pPr>
        <w:ind w:left="4875" w:hanging="180"/>
      </w:pPr>
      <w:rPr>
        <w:rFonts w:hint="default"/>
      </w:rPr>
    </w:lvl>
    <w:lvl w:ilvl="6" w:tplc="F24AC836">
      <w:numFmt w:val="bullet"/>
      <w:lvlText w:val="•"/>
      <w:lvlJc w:val="left"/>
      <w:pPr>
        <w:ind w:left="5724" w:hanging="180"/>
      </w:pPr>
      <w:rPr>
        <w:rFonts w:hint="default"/>
      </w:rPr>
    </w:lvl>
    <w:lvl w:ilvl="7" w:tplc="7A56C98E">
      <w:numFmt w:val="bullet"/>
      <w:lvlText w:val="•"/>
      <w:lvlJc w:val="left"/>
      <w:pPr>
        <w:ind w:left="6573" w:hanging="180"/>
      </w:pPr>
      <w:rPr>
        <w:rFonts w:hint="default"/>
      </w:rPr>
    </w:lvl>
    <w:lvl w:ilvl="8" w:tplc="06DECE18">
      <w:numFmt w:val="bullet"/>
      <w:lvlText w:val="•"/>
      <w:lvlJc w:val="left"/>
      <w:pPr>
        <w:ind w:left="7422" w:hanging="180"/>
      </w:pPr>
      <w:rPr>
        <w:rFonts w:hint="default"/>
      </w:rPr>
    </w:lvl>
  </w:abstractNum>
  <w:abstractNum w:abstractNumId="26" w15:restartNumberingAfterBreak="0">
    <w:nsid w:val="73CB7D82"/>
    <w:multiLevelType w:val="hybridMultilevel"/>
    <w:tmpl w:val="738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94F12"/>
    <w:multiLevelType w:val="hybridMultilevel"/>
    <w:tmpl w:val="E47A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B5247"/>
    <w:multiLevelType w:val="hybridMultilevel"/>
    <w:tmpl w:val="5514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9"/>
  </w:num>
  <w:num w:numId="5">
    <w:abstractNumId w:val="14"/>
  </w:num>
  <w:num w:numId="6">
    <w:abstractNumId w:val="2"/>
  </w:num>
  <w:num w:numId="7">
    <w:abstractNumId w:val="5"/>
  </w:num>
  <w:num w:numId="8">
    <w:abstractNumId w:val="7"/>
  </w:num>
  <w:num w:numId="9">
    <w:abstractNumId w:val="1"/>
  </w:num>
  <w:num w:numId="10">
    <w:abstractNumId w:val="27"/>
  </w:num>
  <w:num w:numId="11">
    <w:abstractNumId w:val="22"/>
  </w:num>
  <w:num w:numId="12">
    <w:abstractNumId w:val="26"/>
  </w:num>
  <w:num w:numId="13">
    <w:abstractNumId w:val="8"/>
  </w:num>
  <w:num w:numId="14">
    <w:abstractNumId w:val="16"/>
  </w:num>
  <w:num w:numId="15">
    <w:abstractNumId w:val="18"/>
  </w:num>
  <w:num w:numId="16">
    <w:abstractNumId w:val="24"/>
  </w:num>
  <w:num w:numId="17">
    <w:abstractNumId w:val="13"/>
  </w:num>
  <w:num w:numId="18">
    <w:abstractNumId w:val="0"/>
  </w:num>
  <w:num w:numId="19">
    <w:abstractNumId w:val="15"/>
  </w:num>
  <w:num w:numId="20">
    <w:abstractNumId w:val="12"/>
  </w:num>
  <w:num w:numId="21">
    <w:abstractNumId w:val="11"/>
  </w:num>
  <w:num w:numId="22">
    <w:abstractNumId w:val="20"/>
  </w:num>
  <w:num w:numId="23">
    <w:abstractNumId w:val="23"/>
  </w:num>
  <w:num w:numId="24">
    <w:abstractNumId w:val="10"/>
  </w:num>
  <w:num w:numId="25">
    <w:abstractNumId w:val="4"/>
  </w:num>
  <w:num w:numId="26">
    <w:abstractNumId w:val="3"/>
  </w:num>
  <w:num w:numId="27">
    <w:abstractNumId w:val="25"/>
  </w:num>
  <w:num w:numId="28">
    <w:abstractNumId w:val="9"/>
  </w:num>
  <w:num w:numId="29">
    <w:abstractNumId w:val="17"/>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CE"/>
    <w:rsid w:val="00017E8A"/>
    <w:rsid w:val="00022AA4"/>
    <w:rsid w:val="000367D6"/>
    <w:rsid w:val="00044AE1"/>
    <w:rsid w:val="00054908"/>
    <w:rsid w:val="00055E2A"/>
    <w:rsid w:val="00095308"/>
    <w:rsid w:val="000A0ACF"/>
    <w:rsid w:val="000A715A"/>
    <w:rsid w:val="000C6F95"/>
    <w:rsid w:val="000D41E2"/>
    <w:rsid w:val="000F4635"/>
    <w:rsid w:val="000F547B"/>
    <w:rsid w:val="001100EF"/>
    <w:rsid w:val="00117DD8"/>
    <w:rsid w:val="00127A9F"/>
    <w:rsid w:val="00131E55"/>
    <w:rsid w:val="001365CA"/>
    <w:rsid w:val="0014139C"/>
    <w:rsid w:val="001461D2"/>
    <w:rsid w:val="00193AE4"/>
    <w:rsid w:val="001A6DB2"/>
    <w:rsid w:val="001B0AA2"/>
    <w:rsid w:val="001D46F8"/>
    <w:rsid w:val="001E6FB5"/>
    <w:rsid w:val="001F2590"/>
    <w:rsid w:val="001F507E"/>
    <w:rsid w:val="00250346"/>
    <w:rsid w:val="00261710"/>
    <w:rsid w:val="00275A0D"/>
    <w:rsid w:val="00277566"/>
    <w:rsid w:val="00277E94"/>
    <w:rsid w:val="0028323E"/>
    <w:rsid w:val="002D1848"/>
    <w:rsid w:val="002D64A6"/>
    <w:rsid w:val="002F2917"/>
    <w:rsid w:val="002F5A19"/>
    <w:rsid w:val="00322AA7"/>
    <w:rsid w:val="003265E6"/>
    <w:rsid w:val="00333320"/>
    <w:rsid w:val="003453DC"/>
    <w:rsid w:val="003740BB"/>
    <w:rsid w:val="003853F4"/>
    <w:rsid w:val="003A4FA5"/>
    <w:rsid w:val="003C0961"/>
    <w:rsid w:val="003F756A"/>
    <w:rsid w:val="00403D6C"/>
    <w:rsid w:val="004176AE"/>
    <w:rsid w:val="0043747B"/>
    <w:rsid w:val="0044492D"/>
    <w:rsid w:val="004474AB"/>
    <w:rsid w:val="00454631"/>
    <w:rsid w:val="004546C8"/>
    <w:rsid w:val="004608C6"/>
    <w:rsid w:val="00473E69"/>
    <w:rsid w:val="00492E09"/>
    <w:rsid w:val="00495100"/>
    <w:rsid w:val="004A6730"/>
    <w:rsid w:val="004B2176"/>
    <w:rsid w:val="004B3482"/>
    <w:rsid w:val="004B4D3C"/>
    <w:rsid w:val="004B5262"/>
    <w:rsid w:val="004C1D60"/>
    <w:rsid w:val="004E0618"/>
    <w:rsid w:val="00512524"/>
    <w:rsid w:val="00514834"/>
    <w:rsid w:val="00514837"/>
    <w:rsid w:val="0053678B"/>
    <w:rsid w:val="00562805"/>
    <w:rsid w:val="00587C87"/>
    <w:rsid w:val="00587EF3"/>
    <w:rsid w:val="00591090"/>
    <w:rsid w:val="0059251E"/>
    <w:rsid w:val="00592C85"/>
    <w:rsid w:val="00594E00"/>
    <w:rsid w:val="0059525B"/>
    <w:rsid w:val="00597764"/>
    <w:rsid w:val="005977D8"/>
    <w:rsid w:val="005C126F"/>
    <w:rsid w:val="005E2B90"/>
    <w:rsid w:val="005E66FC"/>
    <w:rsid w:val="00602C5E"/>
    <w:rsid w:val="00610428"/>
    <w:rsid w:val="0063555B"/>
    <w:rsid w:val="00644430"/>
    <w:rsid w:val="00652C9B"/>
    <w:rsid w:val="00665485"/>
    <w:rsid w:val="00682859"/>
    <w:rsid w:val="006836FD"/>
    <w:rsid w:val="00691450"/>
    <w:rsid w:val="006B2C23"/>
    <w:rsid w:val="006E53CE"/>
    <w:rsid w:val="0070630D"/>
    <w:rsid w:val="00711125"/>
    <w:rsid w:val="00714553"/>
    <w:rsid w:val="007B240A"/>
    <w:rsid w:val="007B3B11"/>
    <w:rsid w:val="007C45DE"/>
    <w:rsid w:val="007E08E7"/>
    <w:rsid w:val="007F3EC9"/>
    <w:rsid w:val="007F5BB1"/>
    <w:rsid w:val="00814E4E"/>
    <w:rsid w:val="0082288A"/>
    <w:rsid w:val="0085292B"/>
    <w:rsid w:val="00866A72"/>
    <w:rsid w:val="00880FF5"/>
    <w:rsid w:val="0088529F"/>
    <w:rsid w:val="008A2D96"/>
    <w:rsid w:val="008B15CE"/>
    <w:rsid w:val="008D1555"/>
    <w:rsid w:val="008E2692"/>
    <w:rsid w:val="008E7E91"/>
    <w:rsid w:val="00901C08"/>
    <w:rsid w:val="00922BAD"/>
    <w:rsid w:val="009305D5"/>
    <w:rsid w:val="00972110"/>
    <w:rsid w:val="0097360B"/>
    <w:rsid w:val="00986CFB"/>
    <w:rsid w:val="00993621"/>
    <w:rsid w:val="009B308F"/>
    <w:rsid w:val="009B7A29"/>
    <w:rsid w:val="009E2265"/>
    <w:rsid w:val="009E3440"/>
    <w:rsid w:val="009F044F"/>
    <w:rsid w:val="009F487D"/>
    <w:rsid w:val="009F7CEF"/>
    <w:rsid w:val="00A12506"/>
    <w:rsid w:val="00A16B18"/>
    <w:rsid w:val="00A31C99"/>
    <w:rsid w:val="00A349D4"/>
    <w:rsid w:val="00A478A5"/>
    <w:rsid w:val="00A82326"/>
    <w:rsid w:val="00A83617"/>
    <w:rsid w:val="00AA3248"/>
    <w:rsid w:val="00AA3838"/>
    <w:rsid w:val="00AA558F"/>
    <w:rsid w:val="00AA678D"/>
    <w:rsid w:val="00AC20BA"/>
    <w:rsid w:val="00AE0DA0"/>
    <w:rsid w:val="00AE5FB9"/>
    <w:rsid w:val="00B0455F"/>
    <w:rsid w:val="00B27789"/>
    <w:rsid w:val="00B33289"/>
    <w:rsid w:val="00B33699"/>
    <w:rsid w:val="00B349EC"/>
    <w:rsid w:val="00B4058D"/>
    <w:rsid w:val="00B4083F"/>
    <w:rsid w:val="00B61DC6"/>
    <w:rsid w:val="00B67A98"/>
    <w:rsid w:val="00B67B74"/>
    <w:rsid w:val="00B87FA1"/>
    <w:rsid w:val="00BA0A2F"/>
    <w:rsid w:val="00BA0BC9"/>
    <w:rsid w:val="00BA1337"/>
    <w:rsid w:val="00BA6D47"/>
    <w:rsid w:val="00BC52D0"/>
    <w:rsid w:val="00BD5B1E"/>
    <w:rsid w:val="00BD622D"/>
    <w:rsid w:val="00BD79E3"/>
    <w:rsid w:val="00BF126F"/>
    <w:rsid w:val="00C07444"/>
    <w:rsid w:val="00C20D3C"/>
    <w:rsid w:val="00C371D5"/>
    <w:rsid w:val="00C434B1"/>
    <w:rsid w:val="00C4377A"/>
    <w:rsid w:val="00C46E80"/>
    <w:rsid w:val="00C5299B"/>
    <w:rsid w:val="00C576FE"/>
    <w:rsid w:val="00C63773"/>
    <w:rsid w:val="00C81BC0"/>
    <w:rsid w:val="00C82F65"/>
    <w:rsid w:val="00C8478E"/>
    <w:rsid w:val="00CA3AAA"/>
    <w:rsid w:val="00CE5CAA"/>
    <w:rsid w:val="00CF0BB2"/>
    <w:rsid w:val="00CF73D0"/>
    <w:rsid w:val="00D03B8C"/>
    <w:rsid w:val="00D10E8D"/>
    <w:rsid w:val="00D13F19"/>
    <w:rsid w:val="00D178A4"/>
    <w:rsid w:val="00D36C24"/>
    <w:rsid w:val="00D40B2D"/>
    <w:rsid w:val="00D638FD"/>
    <w:rsid w:val="00D875E7"/>
    <w:rsid w:val="00D90AA5"/>
    <w:rsid w:val="00D93672"/>
    <w:rsid w:val="00DB27FB"/>
    <w:rsid w:val="00DB3993"/>
    <w:rsid w:val="00DC065C"/>
    <w:rsid w:val="00DD0C9B"/>
    <w:rsid w:val="00DD2162"/>
    <w:rsid w:val="00DD537C"/>
    <w:rsid w:val="00E32239"/>
    <w:rsid w:val="00E45B97"/>
    <w:rsid w:val="00E65AE8"/>
    <w:rsid w:val="00E7174F"/>
    <w:rsid w:val="00E954DC"/>
    <w:rsid w:val="00ED560F"/>
    <w:rsid w:val="00EE1122"/>
    <w:rsid w:val="00EE1E72"/>
    <w:rsid w:val="00EF05CD"/>
    <w:rsid w:val="00EF2199"/>
    <w:rsid w:val="00EF7105"/>
    <w:rsid w:val="00F347A2"/>
    <w:rsid w:val="00F35F9F"/>
    <w:rsid w:val="00F3774D"/>
    <w:rsid w:val="00F93017"/>
    <w:rsid w:val="00FA0A8F"/>
    <w:rsid w:val="00FA6651"/>
    <w:rsid w:val="00FB0AED"/>
    <w:rsid w:val="00FB4EF0"/>
    <w:rsid w:val="00FC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030DC"/>
  <w15:docId w15:val="{5DE3DFB1-C0A0-4A2D-95BA-457CF3F2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53CE"/>
    <w:pPr>
      <w:ind w:left="720"/>
    </w:pPr>
  </w:style>
  <w:style w:type="character" w:styleId="Hyperlink">
    <w:name w:val="Hyperlink"/>
    <w:basedOn w:val="DefaultParagraphFont"/>
    <w:uiPriority w:val="99"/>
    <w:unhideWhenUsed/>
    <w:rsid w:val="006E53CE"/>
    <w:rPr>
      <w:color w:val="0000FF"/>
      <w:u w:val="single"/>
    </w:rPr>
  </w:style>
  <w:style w:type="paragraph" w:styleId="BalloonText">
    <w:name w:val="Balloon Text"/>
    <w:basedOn w:val="Normal"/>
    <w:link w:val="BalloonTextChar"/>
    <w:uiPriority w:val="99"/>
    <w:semiHidden/>
    <w:unhideWhenUsed/>
    <w:rsid w:val="0043747B"/>
    <w:rPr>
      <w:rFonts w:ascii="Tahoma" w:hAnsi="Tahoma" w:cs="Tahoma"/>
      <w:sz w:val="16"/>
      <w:szCs w:val="16"/>
    </w:rPr>
  </w:style>
  <w:style w:type="character" w:customStyle="1" w:styleId="BalloonTextChar">
    <w:name w:val="Balloon Text Char"/>
    <w:basedOn w:val="DefaultParagraphFont"/>
    <w:link w:val="BalloonText"/>
    <w:uiPriority w:val="99"/>
    <w:semiHidden/>
    <w:rsid w:val="0043747B"/>
    <w:rPr>
      <w:rFonts w:ascii="Tahoma" w:hAnsi="Tahoma" w:cs="Tahoma"/>
      <w:sz w:val="16"/>
      <w:szCs w:val="16"/>
    </w:rPr>
  </w:style>
  <w:style w:type="paragraph" w:customStyle="1" w:styleId="Default">
    <w:name w:val="Default"/>
    <w:rsid w:val="00CF0B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46C8"/>
    <w:pPr>
      <w:tabs>
        <w:tab w:val="center" w:pos="4680"/>
        <w:tab w:val="right" w:pos="9360"/>
      </w:tabs>
    </w:pPr>
  </w:style>
  <w:style w:type="character" w:customStyle="1" w:styleId="HeaderChar">
    <w:name w:val="Header Char"/>
    <w:basedOn w:val="DefaultParagraphFont"/>
    <w:link w:val="Header"/>
    <w:uiPriority w:val="99"/>
    <w:rsid w:val="004546C8"/>
    <w:rPr>
      <w:rFonts w:ascii="Calibri" w:hAnsi="Calibri" w:cs="Calibri"/>
    </w:rPr>
  </w:style>
  <w:style w:type="paragraph" w:styleId="Footer">
    <w:name w:val="footer"/>
    <w:basedOn w:val="Normal"/>
    <w:link w:val="FooterChar"/>
    <w:uiPriority w:val="99"/>
    <w:unhideWhenUsed/>
    <w:rsid w:val="004546C8"/>
    <w:pPr>
      <w:tabs>
        <w:tab w:val="center" w:pos="4680"/>
        <w:tab w:val="right" w:pos="9360"/>
      </w:tabs>
    </w:pPr>
  </w:style>
  <w:style w:type="character" w:customStyle="1" w:styleId="FooterChar">
    <w:name w:val="Footer Char"/>
    <w:basedOn w:val="DefaultParagraphFont"/>
    <w:link w:val="Footer"/>
    <w:uiPriority w:val="99"/>
    <w:rsid w:val="004546C8"/>
    <w:rPr>
      <w:rFonts w:ascii="Calibri" w:hAnsi="Calibri" w:cs="Calibri"/>
    </w:rPr>
  </w:style>
  <w:style w:type="table" w:styleId="TableGrid">
    <w:name w:val="Table Grid"/>
    <w:basedOn w:val="TableNormal"/>
    <w:uiPriority w:val="59"/>
    <w:rsid w:val="0040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40A"/>
    <w:rPr>
      <w:sz w:val="16"/>
      <w:szCs w:val="16"/>
    </w:rPr>
  </w:style>
  <w:style w:type="paragraph" w:styleId="CommentText">
    <w:name w:val="annotation text"/>
    <w:basedOn w:val="Normal"/>
    <w:link w:val="CommentTextChar"/>
    <w:uiPriority w:val="99"/>
    <w:semiHidden/>
    <w:unhideWhenUsed/>
    <w:rsid w:val="007B240A"/>
    <w:rPr>
      <w:sz w:val="20"/>
      <w:szCs w:val="20"/>
    </w:rPr>
  </w:style>
  <w:style w:type="character" w:customStyle="1" w:styleId="CommentTextChar">
    <w:name w:val="Comment Text Char"/>
    <w:basedOn w:val="DefaultParagraphFont"/>
    <w:link w:val="CommentText"/>
    <w:uiPriority w:val="99"/>
    <w:semiHidden/>
    <w:rsid w:val="007B24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240A"/>
    <w:rPr>
      <w:b/>
      <w:bCs/>
    </w:rPr>
  </w:style>
  <w:style w:type="character" w:customStyle="1" w:styleId="CommentSubjectChar">
    <w:name w:val="Comment Subject Char"/>
    <w:basedOn w:val="CommentTextChar"/>
    <w:link w:val="CommentSubject"/>
    <w:uiPriority w:val="99"/>
    <w:semiHidden/>
    <w:rsid w:val="007B240A"/>
    <w:rPr>
      <w:rFonts w:ascii="Calibri" w:hAnsi="Calibri" w:cs="Calibri"/>
      <w:b/>
      <w:bCs/>
      <w:sz w:val="20"/>
      <w:szCs w:val="20"/>
    </w:rPr>
  </w:style>
  <w:style w:type="paragraph" w:styleId="BodyText">
    <w:name w:val="Body Text"/>
    <w:basedOn w:val="Normal"/>
    <w:link w:val="BodyTextChar"/>
    <w:uiPriority w:val="1"/>
    <w:qFormat/>
    <w:rsid w:val="00B0455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045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3326">
      <w:bodyDiv w:val="1"/>
      <w:marLeft w:val="0"/>
      <w:marRight w:val="0"/>
      <w:marTop w:val="0"/>
      <w:marBottom w:val="0"/>
      <w:divBdr>
        <w:top w:val="none" w:sz="0" w:space="0" w:color="auto"/>
        <w:left w:val="none" w:sz="0" w:space="0" w:color="auto"/>
        <w:bottom w:val="none" w:sz="0" w:space="0" w:color="auto"/>
        <w:right w:val="none" w:sz="0" w:space="0" w:color="auto"/>
      </w:divBdr>
      <w:divsChild>
        <w:div w:id="1931348956">
          <w:marLeft w:val="0"/>
          <w:marRight w:val="0"/>
          <w:marTop w:val="0"/>
          <w:marBottom w:val="0"/>
          <w:divBdr>
            <w:top w:val="none" w:sz="0" w:space="0" w:color="auto"/>
            <w:left w:val="none" w:sz="0" w:space="0" w:color="auto"/>
            <w:bottom w:val="none" w:sz="0" w:space="0" w:color="auto"/>
            <w:right w:val="none" w:sz="0" w:space="0" w:color="auto"/>
          </w:divBdr>
          <w:divsChild>
            <w:div w:id="2079936267">
              <w:marLeft w:val="0"/>
              <w:marRight w:val="0"/>
              <w:marTop w:val="0"/>
              <w:marBottom w:val="0"/>
              <w:divBdr>
                <w:top w:val="none" w:sz="0" w:space="0" w:color="auto"/>
                <w:left w:val="none" w:sz="0" w:space="0" w:color="auto"/>
                <w:bottom w:val="none" w:sz="0" w:space="0" w:color="auto"/>
                <w:right w:val="none" w:sz="0" w:space="0" w:color="auto"/>
              </w:divBdr>
              <w:divsChild>
                <w:div w:id="218713770">
                  <w:marLeft w:val="0"/>
                  <w:marRight w:val="0"/>
                  <w:marTop w:val="0"/>
                  <w:marBottom w:val="0"/>
                  <w:divBdr>
                    <w:top w:val="none" w:sz="0" w:space="0" w:color="auto"/>
                    <w:left w:val="none" w:sz="0" w:space="0" w:color="auto"/>
                    <w:bottom w:val="none" w:sz="0" w:space="0" w:color="auto"/>
                    <w:right w:val="none" w:sz="0" w:space="0" w:color="auto"/>
                  </w:divBdr>
                  <w:divsChild>
                    <w:div w:id="812719780">
                      <w:marLeft w:val="0"/>
                      <w:marRight w:val="0"/>
                      <w:marTop w:val="0"/>
                      <w:marBottom w:val="0"/>
                      <w:divBdr>
                        <w:top w:val="none" w:sz="0" w:space="0" w:color="auto"/>
                        <w:left w:val="none" w:sz="0" w:space="0" w:color="auto"/>
                        <w:bottom w:val="none" w:sz="0" w:space="0" w:color="auto"/>
                        <w:right w:val="none" w:sz="0" w:space="0" w:color="auto"/>
                      </w:divBdr>
                      <w:divsChild>
                        <w:div w:id="578488267">
                          <w:marLeft w:val="0"/>
                          <w:marRight w:val="0"/>
                          <w:marTop w:val="0"/>
                          <w:marBottom w:val="300"/>
                          <w:divBdr>
                            <w:top w:val="none" w:sz="0" w:space="0" w:color="auto"/>
                            <w:left w:val="none" w:sz="0" w:space="0" w:color="auto"/>
                            <w:bottom w:val="none" w:sz="0" w:space="0" w:color="auto"/>
                            <w:right w:val="none" w:sz="0" w:space="0" w:color="auto"/>
                          </w:divBdr>
                          <w:divsChild>
                            <w:div w:id="1296762000">
                              <w:marLeft w:val="0"/>
                              <w:marRight w:val="0"/>
                              <w:marTop w:val="0"/>
                              <w:marBottom w:val="0"/>
                              <w:divBdr>
                                <w:top w:val="none" w:sz="0" w:space="0" w:color="auto"/>
                                <w:left w:val="none" w:sz="0" w:space="0" w:color="auto"/>
                                <w:bottom w:val="none" w:sz="0" w:space="0" w:color="auto"/>
                                <w:right w:val="none" w:sz="0" w:space="0" w:color="auto"/>
                              </w:divBdr>
                            </w:div>
                          </w:divsChild>
                        </w:div>
                        <w:div w:id="758328791">
                          <w:marLeft w:val="0"/>
                          <w:marRight w:val="0"/>
                          <w:marTop w:val="0"/>
                          <w:marBottom w:val="300"/>
                          <w:divBdr>
                            <w:top w:val="none" w:sz="0" w:space="0" w:color="auto"/>
                            <w:left w:val="none" w:sz="0" w:space="0" w:color="auto"/>
                            <w:bottom w:val="none" w:sz="0" w:space="0" w:color="auto"/>
                            <w:right w:val="none" w:sz="0" w:space="0" w:color="auto"/>
                          </w:divBdr>
                          <w:divsChild>
                            <w:div w:id="1476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3362">
      <w:bodyDiv w:val="1"/>
      <w:marLeft w:val="0"/>
      <w:marRight w:val="0"/>
      <w:marTop w:val="0"/>
      <w:marBottom w:val="0"/>
      <w:divBdr>
        <w:top w:val="none" w:sz="0" w:space="0" w:color="auto"/>
        <w:left w:val="none" w:sz="0" w:space="0" w:color="auto"/>
        <w:bottom w:val="none" w:sz="0" w:space="0" w:color="auto"/>
        <w:right w:val="none" w:sz="0" w:space="0" w:color="auto"/>
      </w:divBdr>
    </w:div>
    <w:div w:id="839008926">
      <w:bodyDiv w:val="1"/>
      <w:marLeft w:val="0"/>
      <w:marRight w:val="0"/>
      <w:marTop w:val="0"/>
      <w:marBottom w:val="0"/>
      <w:divBdr>
        <w:top w:val="none" w:sz="0" w:space="0" w:color="auto"/>
        <w:left w:val="none" w:sz="0" w:space="0" w:color="auto"/>
        <w:bottom w:val="none" w:sz="0" w:space="0" w:color="auto"/>
        <w:right w:val="none" w:sz="0" w:space="0" w:color="auto"/>
      </w:divBdr>
    </w:div>
    <w:div w:id="1378436526">
      <w:bodyDiv w:val="1"/>
      <w:marLeft w:val="0"/>
      <w:marRight w:val="0"/>
      <w:marTop w:val="0"/>
      <w:marBottom w:val="0"/>
      <w:divBdr>
        <w:top w:val="none" w:sz="0" w:space="0" w:color="auto"/>
        <w:left w:val="none" w:sz="0" w:space="0" w:color="auto"/>
        <w:bottom w:val="none" w:sz="0" w:space="0" w:color="auto"/>
        <w:right w:val="none" w:sz="0" w:space="0" w:color="auto"/>
      </w:divBdr>
    </w:div>
    <w:div w:id="1461731844">
      <w:bodyDiv w:val="1"/>
      <w:marLeft w:val="0"/>
      <w:marRight w:val="0"/>
      <w:marTop w:val="0"/>
      <w:marBottom w:val="0"/>
      <w:divBdr>
        <w:top w:val="none" w:sz="0" w:space="0" w:color="auto"/>
        <w:left w:val="none" w:sz="0" w:space="0" w:color="auto"/>
        <w:bottom w:val="none" w:sz="0" w:space="0" w:color="auto"/>
        <w:right w:val="none" w:sz="0" w:space="0" w:color="auto"/>
      </w:divBdr>
      <w:divsChild>
        <w:div w:id="1006640779">
          <w:marLeft w:val="0"/>
          <w:marRight w:val="0"/>
          <w:marTop w:val="0"/>
          <w:marBottom w:val="0"/>
          <w:divBdr>
            <w:top w:val="none" w:sz="0" w:space="0" w:color="auto"/>
            <w:left w:val="none" w:sz="0" w:space="0" w:color="auto"/>
            <w:bottom w:val="none" w:sz="0" w:space="0" w:color="auto"/>
            <w:right w:val="none" w:sz="0" w:space="0" w:color="auto"/>
          </w:divBdr>
          <w:divsChild>
            <w:div w:id="2015187491">
              <w:marLeft w:val="0"/>
              <w:marRight w:val="0"/>
              <w:marTop w:val="0"/>
              <w:marBottom w:val="0"/>
              <w:divBdr>
                <w:top w:val="none" w:sz="0" w:space="0" w:color="auto"/>
                <w:left w:val="none" w:sz="0" w:space="0" w:color="auto"/>
                <w:bottom w:val="none" w:sz="0" w:space="0" w:color="auto"/>
                <w:right w:val="none" w:sz="0" w:space="0" w:color="auto"/>
              </w:divBdr>
              <w:divsChild>
                <w:div w:id="32459891">
                  <w:marLeft w:val="0"/>
                  <w:marRight w:val="0"/>
                  <w:marTop w:val="0"/>
                  <w:marBottom w:val="0"/>
                  <w:divBdr>
                    <w:top w:val="none" w:sz="0" w:space="0" w:color="auto"/>
                    <w:left w:val="none" w:sz="0" w:space="0" w:color="auto"/>
                    <w:bottom w:val="none" w:sz="0" w:space="0" w:color="auto"/>
                    <w:right w:val="none" w:sz="0" w:space="0" w:color="auto"/>
                  </w:divBdr>
                  <w:divsChild>
                    <w:div w:id="361370028">
                      <w:marLeft w:val="0"/>
                      <w:marRight w:val="0"/>
                      <w:marTop w:val="0"/>
                      <w:marBottom w:val="0"/>
                      <w:divBdr>
                        <w:top w:val="none" w:sz="0" w:space="0" w:color="auto"/>
                        <w:left w:val="none" w:sz="0" w:space="0" w:color="auto"/>
                        <w:bottom w:val="none" w:sz="0" w:space="0" w:color="auto"/>
                        <w:right w:val="none" w:sz="0" w:space="0" w:color="auto"/>
                      </w:divBdr>
                      <w:divsChild>
                        <w:div w:id="1283925571">
                          <w:marLeft w:val="0"/>
                          <w:marRight w:val="0"/>
                          <w:marTop w:val="0"/>
                          <w:marBottom w:val="300"/>
                          <w:divBdr>
                            <w:top w:val="none" w:sz="0" w:space="0" w:color="auto"/>
                            <w:left w:val="none" w:sz="0" w:space="0" w:color="auto"/>
                            <w:bottom w:val="none" w:sz="0" w:space="0" w:color="auto"/>
                            <w:right w:val="none" w:sz="0" w:space="0" w:color="auto"/>
                          </w:divBdr>
                          <w:divsChild>
                            <w:div w:id="1500342645">
                              <w:marLeft w:val="0"/>
                              <w:marRight w:val="0"/>
                              <w:marTop w:val="0"/>
                              <w:marBottom w:val="0"/>
                              <w:divBdr>
                                <w:top w:val="none" w:sz="0" w:space="0" w:color="auto"/>
                                <w:left w:val="none" w:sz="0" w:space="0" w:color="auto"/>
                                <w:bottom w:val="none" w:sz="0" w:space="0" w:color="auto"/>
                                <w:right w:val="none" w:sz="0" w:space="0" w:color="auto"/>
                              </w:divBdr>
                            </w:div>
                          </w:divsChild>
                        </w:div>
                        <w:div w:id="777919310">
                          <w:marLeft w:val="0"/>
                          <w:marRight w:val="0"/>
                          <w:marTop w:val="0"/>
                          <w:marBottom w:val="300"/>
                          <w:divBdr>
                            <w:top w:val="none" w:sz="0" w:space="0" w:color="auto"/>
                            <w:left w:val="none" w:sz="0" w:space="0" w:color="auto"/>
                            <w:bottom w:val="none" w:sz="0" w:space="0" w:color="auto"/>
                            <w:right w:val="none" w:sz="0" w:space="0" w:color="auto"/>
                          </w:divBdr>
                          <w:divsChild>
                            <w:div w:id="6184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92923">
      <w:bodyDiv w:val="1"/>
      <w:marLeft w:val="0"/>
      <w:marRight w:val="0"/>
      <w:marTop w:val="0"/>
      <w:marBottom w:val="0"/>
      <w:divBdr>
        <w:top w:val="none" w:sz="0" w:space="0" w:color="auto"/>
        <w:left w:val="none" w:sz="0" w:space="0" w:color="auto"/>
        <w:bottom w:val="none" w:sz="0" w:space="0" w:color="auto"/>
        <w:right w:val="none" w:sz="0" w:space="0" w:color="auto"/>
      </w:divBdr>
    </w:div>
    <w:div w:id="1814565869">
      <w:bodyDiv w:val="1"/>
      <w:marLeft w:val="0"/>
      <w:marRight w:val="0"/>
      <w:marTop w:val="0"/>
      <w:marBottom w:val="0"/>
      <w:divBdr>
        <w:top w:val="none" w:sz="0" w:space="0" w:color="auto"/>
        <w:left w:val="none" w:sz="0" w:space="0" w:color="auto"/>
        <w:bottom w:val="none" w:sz="0" w:space="0" w:color="auto"/>
        <w:right w:val="none" w:sz="0" w:space="0" w:color="auto"/>
      </w:divBdr>
      <w:divsChild>
        <w:div w:id="698357034">
          <w:marLeft w:val="1166"/>
          <w:marRight w:val="0"/>
          <w:marTop w:val="0"/>
          <w:marBottom w:val="0"/>
          <w:divBdr>
            <w:top w:val="none" w:sz="0" w:space="0" w:color="auto"/>
            <w:left w:val="none" w:sz="0" w:space="0" w:color="auto"/>
            <w:bottom w:val="none" w:sz="0" w:space="0" w:color="auto"/>
            <w:right w:val="none" w:sz="0" w:space="0" w:color="auto"/>
          </w:divBdr>
        </w:div>
        <w:div w:id="1268074262">
          <w:marLeft w:val="1166"/>
          <w:marRight w:val="0"/>
          <w:marTop w:val="0"/>
          <w:marBottom w:val="0"/>
          <w:divBdr>
            <w:top w:val="none" w:sz="0" w:space="0" w:color="auto"/>
            <w:left w:val="none" w:sz="0" w:space="0" w:color="auto"/>
            <w:bottom w:val="none" w:sz="0" w:space="0" w:color="auto"/>
            <w:right w:val="none" w:sz="0" w:space="0" w:color="auto"/>
          </w:divBdr>
        </w:div>
        <w:div w:id="1922830220">
          <w:marLeft w:val="1166"/>
          <w:marRight w:val="0"/>
          <w:marTop w:val="0"/>
          <w:marBottom w:val="0"/>
          <w:divBdr>
            <w:top w:val="none" w:sz="0" w:space="0" w:color="auto"/>
            <w:left w:val="none" w:sz="0" w:space="0" w:color="auto"/>
            <w:bottom w:val="none" w:sz="0" w:space="0" w:color="auto"/>
            <w:right w:val="none" w:sz="0" w:space="0" w:color="auto"/>
          </w:divBdr>
        </w:div>
        <w:div w:id="2092192506">
          <w:marLeft w:val="1166"/>
          <w:marRight w:val="0"/>
          <w:marTop w:val="0"/>
          <w:marBottom w:val="0"/>
          <w:divBdr>
            <w:top w:val="none" w:sz="0" w:space="0" w:color="auto"/>
            <w:left w:val="none" w:sz="0" w:space="0" w:color="auto"/>
            <w:bottom w:val="none" w:sz="0" w:space="0" w:color="auto"/>
            <w:right w:val="none" w:sz="0" w:space="0" w:color="auto"/>
          </w:divBdr>
        </w:div>
        <w:div w:id="1509562611">
          <w:marLeft w:val="1166"/>
          <w:marRight w:val="0"/>
          <w:marTop w:val="0"/>
          <w:marBottom w:val="0"/>
          <w:divBdr>
            <w:top w:val="none" w:sz="0" w:space="0" w:color="auto"/>
            <w:left w:val="none" w:sz="0" w:space="0" w:color="auto"/>
            <w:bottom w:val="none" w:sz="0" w:space="0" w:color="auto"/>
            <w:right w:val="none" w:sz="0" w:space="0" w:color="auto"/>
          </w:divBdr>
        </w:div>
        <w:div w:id="214661590">
          <w:marLeft w:val="1166"/>
          <w:marRight w:val="0"/>
          <w:marTop w:val="0"/>
          <w:marBottom w:val="0"/>
          <w:divBdr>
            <w:top w:val="none" w:sz="0" w:space="0" w:color="auto"/>
            <w:left w:val="none" w:sz="0" w:space="0" w:color="auto"/>
            <w:bottom w:val="none" w:sz="0" w:space="0" w:color="auto"/>
            <w:right w:val="none" w:sz="0" w:space="0" w:color="auto"/>
          </w:divBdr>
        </w:div>
        <w:div w:id="821772322">
          <w:marLeft w:val="1166"/>
          <w:marRight w:val="0"/>
          <w:marTop w:val="0"/>
          <w:marBottom w:val="0"/>
          <w:divBdr>
            <w:top w:val="none" w:sz="0" w:space="0" w:color="auto"/>
            <w:left w:val="none" w:sz="0" w:space="0" w:color="auto"/>
            <w:bottom w:val="none" w:sz="0" w:space="0" w:color="auto"/>
            <w:right w:val="none" w:sz="0" w:space="0" w:color="auto"/>
          </w:divBdr>
        </w:div>
        <w:div w:id="139079678">
          <w:marLeft w:val="1166"/>
          <w:marRight w:val="0"/>
          <w:marTop w:val="0"/>
          <w:marBottom w:val="0"/>
          <w:divBdr>
            <w:top w:val="none" w:sz="0" w:space="0" w:color="auto"/>
            <w:left w:val="none" w:sz="0" w:space="0" w:color="auto"/>
            <w:bottom w:val="none" w:sz="0" w:space="0" w:color="auto"/>
            <w:right w:val="none" w:sz="0" w:space="0" w:color="auto"/>
          </w:divBdr>
        </w:div>
        <w:div w:id="1361320113">
          <w:marLeft w:val="1166"/>
          <w:marRight w:val="0"/>
          <w:marTop w:val="0"/>
          <w:marBottom w:val="0"/>
          <w:divBdr>
            <w:top w:val="none" w:sz="0" w:space="0" w:color="auto"/>
            <w:left w:val="none" w:sz="0" w:space="0" w:color="auto"/>
            <w:bottom w:val="none" w:sz="0" w:space="0" w:color="auto"/>
            <w:right w:val="none" w:sz="0" w:space="0" w:color="auto"/>
          </w:divBdr>
        </w:div>
        <w:div w:id="206140748">
          <w:marLeft w:val="1166"/>
          <w:marRight w:val="0"/>
          <w:marTop w:val="0"/>
          <w:marBottom w:val="0"/>
          <w:divBdr>
            <w:top w:val="none" w:sz="0" w:space="0" w:color="auto"/>
            <w:left w:val="none" w:sz="0" w:space="0" w:color="auto"/>
            <w:bottom w:val="none" w:sz="0" w:space="0" w:color="auto"/>
            <w:right w:val="none" w:sz="0" w:space="0" w:color="auto"/>
          </w:divBdr>
        </w:div>
        <w:div w:id="2006935314">
          <w:marLeft w:val="1166"/>
          <w:marRight w:val="0"/>
          <w:marTop w:val="0"/>
          <w:marBottom w:val="0"/>
          <w:divBdr>
            <w:top w:val="none" w:sz="0" w:space="0" w:color="auto"/>
            <w:left w:val="none" w:sz="0" w:space="0" w:color="auto"/>
            <w:bottom w:val="none" w:sz="0" w:space="0" w:color="auto"/>
            <w:right w:val="none" w:sz="0" w:space="0" w:color="auto"/>
          </w:divBdr>
        </w:div>
        <w:div w:id="324283129">
          <w:marLeft w:val="1166"/>
          <w:marRight w:val="0"/>
          <w:marTop w:val="0"/>
          <w:marBottom w:val="0"/>
          <w:divBdr>
            <w:top w:val="none" w:sz="0" w:space="0" w:color="auto"/>
            <w:left w:val="none" w:sz="0" w:space="0" w:color="auto"/>
            <w:bottom w:val="none" w:sz="0" w:space="0" w:color="auto"/>
            <w:right w:val="none" w:sz="0" w:space="0" w:color="auto"/>
          </w:divBdr>
        </w:div>
        <w:div w:id="19499702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F6C6-72AA-4339-994B-5D678735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 Incorporating Policy Committee Discussion on 8/30/12</vt:lpstr>
    </vt:vector>
  </TitlesOfParts>
  <Company>Fairfax County</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Incorporating Policy Committee Discussion on 8/30/12</dc:title>
  <dc:creator>Carr, Kimberly</dc:creator>
  <cp:lastModifiedBy>Hannah Marshall</cp:lastModifiedBy>
  <cp:revision>2</cp:revision>
  <cp:lastPrinted>2018-01-06T00:09:00Z</cp:lastPrinted>
  <dcterms:created xsi:type="dcterms:W3CDTF">2018-07-11T17:49:00Z</dcterms:created>
  <dcterms:modified xsi:type="dcterms:W3CDTF">2018-07-11T17:49:00Z</dcterms:modified>
</cp:coreProperties>
</file>